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7.0.0 -->
  <w:body>
    <w:p w:rsidR="00681DDD">
      <w:pPr>
        <w:pStyle w:val="MarginText"/>
        <w:spacing w:line="276" w:lineRule="auto"/>
        <w:jc w:val="center"/>
        <w:rPr>
          <w:rFonts w:eastAsia="楷体"/>
          <w:b/>
          <w:color w:val="00A5E7"/>
          <w:sz w:val="20"/>
        </w:rPr>
      </w:pPr>
      <w:r>
        <w:rPr>
          <w:rFonts w:eastAsia="楷体"/>
          <w:b/>
          <w:color w:val="00A5E7"/>
          <w:sz w:val="20"/>
        </w:rPr>
        <w:t>供应条款与条件</w:t>
      </w:r>
    </w:p>
    <w:p w:rsidR="00681DDD">
      <w:pPr>
        <w:pStyle w:val="Heading1"/>
        <w:spacing w:line="276" w:lineRule="auto"/>
        <w:ind w:firstLine="0"/>
        <w:rPr>
          <w:rFonts w:eastAsia="楷体"/>
          <w:color w:val="00A5E7"/>
          <w:sz w:val="20"/>
          <w:u w:val="none"/>
        </w:rPr>
      </w:pPr>
      <w:r>
        <w:rPr>
          <w:rFonts w:eastAsia="楷体"/>
          <w:color w:val="00A5E7"/>
          <w:sz w:val="20"/>
          <w:u w:val="none"/>
        </w:rPr>
        <w:t>关于签署、接受订单的重要内容</w:t>
      </w:r>
    </w:p>
    <w:p w:rsidR="00681DDD">
      <w:pPr>
        <w:pStyle w:val="Heading2"/>
        <w:spacing w:line="276" w:lineRule="auto"/>
        <w:rPr>
          <w:rFonts w:eastAsia="楷体"/>
          <w:sz w:val="20"/>
        </w:rPr>
      </w:pPr>
      <w:r>
        <w:rPr>
          <w:rFonts w:eastAsia="楷体"/>
          <w:sz w:val="20"/>
        </w:rPr>
        <w:t>订单可一式数份签署，订单一经签署均为原件，但所有各份原件共同构成同一</w:t>
      </w:r>
      <w:r>
        <w:rPr>
          <w:rFonts w:eastAsia="楷体"/>
          <w:sz w:val="20"/>
        </w:rPr>
        <w:t>(1)</w:t>
      </w:r>
      <w:r>
        <w:rPr>
          <w:rFonts w:eastAsia="楷体"/>
          <w:sz w:val="20"/>
        </w:rPr>
        <w:t>张订单。通过电子邮件发送一张订单经签署签字页（</w:t>
      </w:r>
      <w:r>
        <w:rPr>
          <w:rFonts w:eastAsia="楷体"/>
          <w:sz w:val="20"/>
        </w:rPr>
        <w:t>PDF</w:t>
      </w:r>
      <w:r>
        <w:rPr>
          <w:rFonts w:eastAsia="楷体"/>
          <w:sz w:val="20"/>
        </w:rPr>
        <w:t>、</w:t>
      </w:r>
      <w:r>
        <w:rPr>
          <w:rFonts w:eastAsia="楷体"/>
          <w:sz w:val="20"/>
        </w:rPr>
        <w:t>JPEG</w:t>
      </w:r>
      <w:r>
        <w:rPr>
          <w:rFonts w:eastAsia="楷体"/>
          <w:sz w:val="20"/>
        </w:rPr>
        <w:t>或其他约定格式）的，与交付订单经签署件效力相同。若采用任一方式交付，在不损害所达成订单效力的同时，买方与</w:t>
      </w:r>
      <w:r>
        <w:rPr>
          <w:rFonts w:eastAsia="楷体"/>
          <w:sz w:val="20"/>
        </w:rPr>
        <w:t>Vita</w:t>
      </w:r>
      <w:r>
        <w:rPr>
          <w:rFonts w:eastAsia="楷体"/>
          <w:sz w:val="20"/>
        </w:rPr>
        <w:t>应在合理情况下于交付后尽快向对方提供该订单原件。</w:t>
      </w:r>
    </w:p>
    <w:p w:rsidR="00681DDD">
      <w:pPr>
        <w:pStyle w:val="Heading2"/>
        <w:spacing w:line="276" w:lineRule="auto"/>
        <w:rPr>
          <w:rFonts w:eastAsia="楷体"/>
          <w:sz w:val="20"/>
        </w:rPr>
      </w:pPr>
      <w:r>
        <w:rPr>
          <w:rFonts w:eastAsia="楷体"/>
          <w:sz w:val="20"/>
        </w:rPr>
        <w:t>提交订购表格</w:t>
      </w:r>
      <w:r>
        <w:rPr>
          <w:rFonts w:eastAsia="楷体"/>
          <w:sz w:val="20"/>
          <w:lang w:val="en-US"/>
        </w:rPr>
        <w:t>或签署订单前，</w:t>
      </w:r>
      <w:r>
        <w:rPr>
          <w:rFonts w:eastAsia="楷体"/>
          <w:sz w:val="20"/>
        </w:rPr>
        <w:t>请务必</w:t>
      </w:r>
      <w:r>
        <w:rPr>
          <w:rFonts w:eastAsia="楷体"/>
          <w:sz w:val="20"/>
          <w:lang w:val="en-US"/>
        </w:rPr>
        <w:t>阅读各项条件。若您为实体（比如工作服务的公司）签署订单，则您声明具有约束该实体的合法授权。</w:t>
      </w:r>
    </w:p>
    <w:p w:rsidR="00681DDD">
      <w:pPr>
        <w:pStyle w:val="Heading1"/>
        <w:spacing w:line="276" w:lineRule="auto"/>
        <w:ind w:firstLine="0"/>
        <w:rPr>
          <w:rFonts w:eastAsia="楷体"/>
          <w:color w:val="00A5E7"/>
          <w:sz w:val="20"/>
          <w:u w:val="none"/>
        </w:rPr>
      </w:pPr>
      <w:r>
        <w:rPr>
          <w:rFonts w:eastAsia="楷体"/>
          <w:color w:val="00A5E7"/>
          <w:sz w:val="20"/>
          <w:u w:val="none"/>
          <w:lang w:val="en-US"/>
        </w:rPr>
        <w:t>VITA</w:t>
      </w:r>
      <w:r>
        <w:rPr>
          <w:rFonts w:eastAsia="楷体"/>
          <w:color w:val="00A5E7"/>
          <w:sz w:val="20"/>
          <w:u w:val="none"/>
          <w:lang w:val="en-US"/>
        </w:rPr>
        <w:t>与买方之间的订单</w:t>
      </w:r>
    </w:p>
    <w:p w:rsidR="00681DDD">
      <w:pPr>
        <w:pStyle w:val="Heading2"/>
        <w:spacing w:line="276" w:lineRule="auto"/>
        <w:rPr>
          <w:rFonts w:eastAsia="楷体"/>
          <w:sz w:val="20"/>
        </w:rPr>
      </w:pPr>
      <w:r>
        <w:rPr>
          <w:rFonts w:eastAsia="楷体"/>
          <w:sz w:val="20"/>
        </w:rPr>
        <w:t>订购表格构成买方根据条件（条件亦可在</w:t>
      </w:r>
      <w:r>
        <w:rPr>
          <w:rFonts w:eastAsia="楷体"/>
          <w:sz w:val="20"/>
        </w:rPr>
        <w:t>Vita</w:t>
      </w:r>
      <w:r>
        <w:rPr>
          <w:rFonts w:eastAsia="楷体"/>
          <w:sz w:val="20"/>
        </w:rPr>
        <w:t>网站取得）采购商品的要约。</w:t>
      </w:r>
      <w:r>
        <w:rPr>
          <w:rFonts w:eastAsia="楷体"/>
          <w:sz w:val="20"/>
        </w:rPr>
        <w:t>Vita</w:t>
      </w:r>
      <w:r>
        <w:rPr>
          <w:rFonts w:eastAsia="楷体"/>
          <w:sz w:val="20"/>
        </w:rPr>
        <w:t>有权不定期修改条件。</w:t>
      </w:r>
    </w:p>
    <w:p w:rsidR="00681DDD">
      <w:pPr>
        <w:pStyle w:val="Heading2"/>
        <w:spacing w:line="276" w:lineRule="auto"/>
        <w:rPr>
          <w:rFonts w:eastAsia="楷体"/>
          <w:sz w:val="20"/>
          <w:lang w:val="en"/>
        </w:rPr>
      </w:pPr>
      <w:r>
        <w:rPr>
          <w:rFonts w:eastAsia="楷体"/>
          <w:sz w:val="20"/>
          <w:lang w:val="en"/>
        </w:rPr>
        <w:t>若买方以书面形式接受订购表格，</w:t>
      </w:r>
      <w:r>
        <w:rPr>
          <w:rFonts w:eastAsia="楷体"/>
          <w:sz w:val="20"/>
          <w:lang w:val="en"/>
        </w:rPr>
        <w:t>Vita</w:t>
      </w:r>
      <w:r>
        <w:rPr>
          <w:rFonts w:eastAsia="楷体"/>
          <w:sz w:val="20"/>
          <w:lang w:val="en"/>
        </w:rPr>
        <w:t>根据条件提供订购表格所载商品，而买方则应根据条件接受商品并为之付款。</w:t>
      </w:r>
    </w:p>
    <w:p w:rsidR="00681DDD">
      <w:pPr>
        <w:pStyle w:val="Heading1"/>
        <w:spacing w:line="276" w:lineRule="auto"/>
        <w:ind w:firstLine="0"/>
        <w:rPr>
          <w:rFonts w:eastAsia="楷体"/>
          <w:color w:val="00A5E7"/>
          <w:sz w:val="20"/>
          <w:u w:val="none"/>
        </w:rPr>
      </w:pPr>
      <w:r>
        <w:rPr>
          <w:rFonts w:eastAsia="楷体"/>
          <w:color w:val="00A5E7"/>
          <w:sz w:val="20"/>
          <w:u w:val="none"/>
        </w:rPr>
        <w:t>定义与解释</w:t>
      </w:r>
    </w:p>
    <w:p w:rsidR="00681DDD">
      <w:pPr>
        <w:pStyle w:val="Heading2"/>
        <w:spacing w:line="276" w:lineRule="auto"/>
        <w:rPr>
          <w:rFonts w:eastAsia="楷体"/>
          <w:sz w:val="20"/>
        </w:rPr>
      </w:pPr>
      <w:r>
        <w:rPr>
          <w:rFonts w:eastAsia="楷体"/>
          <w:sz w:val="20"/>
        </w:rPr>
        <w:t>条件相关术语定义如下：</w:t>
      </w:r>
    </w:p>
    <w:tbl>
      <w:tblPr>
        <w:tblW w:w="9556" w:type="dxa"/>
        <w:tblInd w:w="828" w:type="dxa"/>
        <w:tblLook w:val="04A0"/>
      </w:tblPr>
      <w:tblGrid>
        <w:gridCol w:w="2788"/>
        <w:gridCol w:w="6768"/>
      </w:tblGrid>
      <w:tr>
        <w:tblPrEx>
          <w:tblW w:w="9556" w:type="dxa"/>
          <w:tblInd w:w="828" w:type="dxa"/>
          <w:tblLook w:val="04A0"/>
        </w:tblPrEx>
        <w:tc>
          <w:tcPr>
            <w:tcW w:w="2788" w:type="dxa"/>
            <w:shd w:val="clear" w:color="auto" w:fill="auto"/>
          </w:tcPr>
          <w:p w:rsidR="00681DDD">
            <w:pPr>
              <w:pStyle w:val="MarginText"/>
              <w:overflowPunct w:val="0"/>
              <w:autoSpaceDE w:val="0"/>
              <w:autoSpaceDN w:val="0"/>
              <w:spacing w:line="276" w:lineRule="auto"/>
              <w:ind w:left="-108"/>
              <w:jc w:val="left"/>
              <w:textAlignment w:val="baseline"/>
              <w:rPr>
                <w:rFonts w:eastAsia="楷体"/>
                <w:color w:val="00A5E7"/>
                <w:sz w:val="20"/>
              </w:rPr>
            </w:pPr>
            <w:r>
              <w:rPr>
                <w:rFonts w:eastAsia="楷体"/>
                <w:color w:val="00A5E7"/>
                <w:sz w:val="20"/>
              </w:rPr>
              <w:t>“</w:t>
            </w:r>
            <w:r>
              <w:rPr>
                <w:rFonts w:eastAsia="楷体"/>
                <w:b/>
                <w:bCs/>
                <w:color w:val="00A5E7"/>
                <w:sz w:val="20"/>
              </w:rPr>
              <w:t>反奴役法</w:t>
            </w:r>
            <w:r>
              <w:rPr>
                <w:rFonts w:eastAsia="楷体"/>
                <w:color w:val="00A5E7"/>
                <w:sz w:val="20"/>
              </w:rPr>
              <w:t>”</w:t>
            </w:r>
          </w:p>
        </w:tc>
        <w:tc>
          <w:tcPr>
            <w:tcW w:w="6768" w:type="dxa"/>
            <w:shd w:val="clear" w:color="auto" w:fill="auto"/>
          </w:tcPr>
          <w:p w:rsidR="00681DDD">
            <w:pPr>
              <w:pStyle w:val="MarginText"/>
              <w:overflowPunct w:val="0"/>
              <w:autoSpaceDE w:val="0"/>
              <w:autoSpaceDN w:val="0"/>
              <w:spacing w:line="276" w:lineRule="auto"/>
              <w:textAlignment w:val="baseline"/>
              <w:rPr>
                <w:rFonts w:eastAsia="楷体"/>
                <w:sz w:val="20"/>
              </w:rPr>
            </w:pPr>
            <w:r>
              <w:rPr>
                <w:rFonts w:eastAsia="楷体"/>
                <w:sz w:val="20"/>
              </w:rPr>
              <w:t>定义见第</w:t>
            </w:r>
            <w:r>
              <w:rPr>
                <w:rFonts w:eastAsia="楷体"/>
                <w:sz w:val="20"/>
              </w:rPr>
              <w:fldChar w:fldCharType="begin"/>
            </w:r>
            <w:r>
              <w:rPr>
                <w:rFonts w:eastAsia="楷体"/>
                <w:sz w:val="20"/>
              </w:rPr>
              <w:instrText xml:space="preserve"> REF _Ref14870818 \r \h  \* MERGEFORMAT </w:instrText>
            </w:r>
            <w:r>
              <w:rPr>
                <w:rFonts w:eastAsia="楷体"/>
                <w:sz w:val="20"/>
              </w:rPr>
              <w:fldChar w:fldCharType="separate"/>
            </w:r>
            <w:r>
              <w:rPr>
                <w:rFonts w:eastAsia="楷体"/>
                <w:sz w:val="20"/>
              </w:rPr>
              <w:t>26.2.1</w:t>
            </w:r>
            <w:r>
              <w:rPr>
                <w:rFonts w:eastAsia="楷体"/>
                <w:sz w:val="20"/>
              </w:rPr>
              <w:fldChar w:fldCharType="end"/>
            </w:r>
            <w:r>
              <w:rPr>
                <w:rFonts w:eastAsia="楷体"/>
                <w:sz w:val="20"/>
              </w:rPr>
              <w:t>项条件。</w:t>
            </w:r>
          </w:p>
        </w:tc>
      </w:tr>
      <w:tr>
        <w:tblPrEx>
          <w:tblW w:w="9556" w:type="dxa"/>
          <w:tblInd w:w="828" w:type="dxa"/>
          <w:tblLook w:val="04A0"/>
        </w:tblPrEx>
        <w:tc>
          <w:tcPr>
            <w:tcW w:w="2788" w:type="dxa"/>
            <w:shd w:val="clear" w:color="auto" w:fill="auto"/>
          </w:tcPr>
          <w:p w:rsidR="00681DDD">
            <w:pPr>
              <w:pStyle w:val="MarginText"/>
              <w:overflowPunct w:val="0"/>
              <w:autoSpaceDE w:val="0"/>
              <w:autoSpaceDN w:val="0"/>
              <w:spacing w:line="276" w:lineRule="auto"/>
              <w:ind w:left="-108"/>
              <w:jc w:val="left"/>
              <w:textAlignment w:val="baseline"/>
              <w:rPr>
                <w:rFonts w:eastAsia="楷体"/>
                <w:color w:val="00A5E7"/>
                <w:sz w:val="20"/>
              </w:rPr>
            </w:pPr>
            <w:r>
              <w:rPr>
                <w:rFonts w:eastAsia="楷体"/>
                <w:color w:val="00A5E7"/>
                <w:sz w:val="20"/>
              </w:rPr>
              <w:t>“</w:t>
            </w:r>
            <w:r>
              <w:rPr>
                <w:rFonts w:eastAsia="楷体" w:hint="eastAsia"/>
                <w:b/>
                <w:bCs/>
                <w:color w:val="00A5E7"/>
                <w:sz w:val="20"/>
              </w:rPr>
              <w:t>背景知识产权</w:t>
            </w:r>
            <w:r>
              <w:rPr>
                <w:rFonts w:eastAsia="楷体"/>
                <w:color w:val="00A5E7"/>
                <w:sz w:val="20"/>
              </w:rPr>
              <w:t>”</w:t>
            </w:r>
          </w:p>
        </w:tc>
        <w:tc>
          <w:tcPr>
            <w:tcW w:w="6768" w:type="dxa"/>
            <w:shd w:val="clear" w:color="auto" w:fill="auto"/>
          </w:tcPr>
          <w:p w:rsidR="00681DDD">
            <w:pPr>
              <w:pStyle w:val="MarginText"/>
              <w:overflowPunct w:val="0"/>
              <w:autoSpaceDE w:val="0"/>
              <w:autoSpaceDN w:val="0"/>
              <w:spacing w:line="276" w:lineRule="auto"/>
              <w:textAlignment w:val="baseline"/>
              <w:rPr>
                <w:rFonts w:eastAsia="楷体"/>
                <w:sz w:val="20"/>
              </w:rPr>
            </w:pPr>
            <w:r>
              <w:rPr>
                <w:rFonts w:eastAsia="楷体"/>
                <w:sz w:val="20"/>
              </w:rPr>
              <w:t>是指在订单下达日期前属于或授权给</w:t>
            </w:r>
            <w:r>
              <w:rPr>
                <w:rFonts w:eastAsia="楷体"/>
                <w:sz w:val="20"/>
              </w:rPr>
              <w:t>Vita</w:t>
            </w:r>
            <w:r>
              <w:rPr>
                <w:rFonts w:eastAsia="楷体"/>
                <w:sz w:val="20"/>
              </w:rPr>
              <w:t>或买方的知识产权。</w:t>
            </w:r>
          </w:p>
        </w:tc>
      </w:tr>
      <w:tr>
        <w:tblPrEx>
          <w:tblW w:w="9556" w:type="dxa"/>
          <w:tblInd w:w="828" w:type="dxa"/>
          <w:tblLook w:val="04A0"/>
        </w:tblPrEx>
        <w:tc>
          <w:tcPr>
            <w:tcW w:w="2788" w:type="dxa"/>
            <w:shd w:val="clear" w:color="auto" w:fill="auto"/>
          </w:tcPr>
          <w:p w:rsidR="00681DDD">
            <w:pPr>
              <w:pStyle w:val="MarginText"/>
              <w:overflowPunct w:val="0"/>
              <w:autoSpaceDE w:val="0"/>
              <w:autoSpaceDN w:val="0"/>
              <w:spacing w:line="276" w:lineRule="auto"/>
              <w:ind w:left="-108"/>
              <w:jc w:val="left"/>
              <w:textAlignment w:val="baseline"/>
              <w:rPr>
                <w:rFonts w:eastAsia="楷体"/>
                <w:color w:val="00A5E7"/>
                <w:sz w:val="20"/>
              </w:rPr>
            </w:pPr>
            <w:r>
              <w:rPr>
                <w:rFonts w:eastAsia="楷体"/>
                <w:color w:val="00A5E7"/>
                <w:sz w:val="20"/>
              </w:rPr>
              <w:t>“</w:t>
            </w:r>
            <w:r>
              <w:rPr>
                <w:rFonts w:eastAsia="楷体"/>
                <w:b/>
                <w:bCs/>
                <w:color w:val="00A5E7"/>
                <w:sz w:val="20"/>
              </w:rPr>
              <w:t>买方</w:t>
            </w:r>
            <w:r>
              <w:rPr>
                <w:rFonts w:eastAsia="楷体"/>
                <w:color w:val="00A5E7"/>
                <w:sz w:val="20"/>
              </w:rPr>
              <w:t>”</w:t>
            </w:r>
          </w:p>
        </w:tc>
        <w:tc>
          <w:tcPr>
            <w:tcW w:w="6768" w:type="dxa"/>
            <w:shd w:val="clear" w:color="auto" w:fill="auto"/>
          </w:tcPr>
          <w:p w:rsidR="00681DDD">
            <w:pPr>
              <w:pStyle w:val="MarginText"/>
              <w:overflowPunct w:val="0"/>
              <w:autoSpaceDE w:val="0"/>
              <w:autoSpaceDN w:val="0"/>
              <w:spacing w:line="276" w:lineRule="auto"/>
              <w:textAlignment w:val="baseline"/>
              <w:rPr>
                <w:rFonts w:eastAsia="楷体"/>
                <w:sz w:val="20"/>
              </w:rPr>
            </w:pPr>
            <w:r>
              <w:rPr>
                <w:rFonts w:eastAsia="楷体"/>
                <w:sz w:val="20"/>
              </w:rPr>
              <w:t>是指订购表格载明的买方。</w:t>
            </w:r>
          </w:p>
        </w:tc>
      </w:tr>
      <w:tr>
        <w:tblPrEx>
          <w:tblW w:w="9556" w:type="dxa"/>
          <w:tblInd w:w="828" w:type="dxa"/>
          <w:tblLook w:val="04A0"/>
        </w:tblPrEx>
        <w:tc>
          <w:tcPr>
            <w:tcW w:w="2788" w:type="dxa"/>
            <w:shd w:val="clear" w:color="auto" w:fill="auto"/>
          </w:tcPr>
          <w:p w:rsidR="00681DDD">
            <w:pPr>
              <w:pStyle w:val="MarginText"/>
              <w:overflowPunct w:val="0"/>
              <w:autoSpaceDE w:val="0"/>
              <w:autoSpaceDN w:val="0"/>
              <w:spacing w:line="276" w:lineRule="auto"/>
              <w:ind w:left="-108"/>
              <w:jc w:val="left"/>
              <w:textAlignment w:val="baseline"/>
              <w:rPr>
                <w:rFonts w:eastAsia="楷体"/>
                <w:color w:val="00A5E7"/>
                <w:sz w:val="20"/>
              </w:rPr>
            </w:pPr>
            <w:r>
              <w:rPr>
                <w:rFonts w:eastAsia="楷体"/>
                <w:color w:val="00A5E7"/>
                <w:sz w:val="20"/>
              </w:rPr>
              <w:t>“</w:t>
            </w:r>
            <w:r>
              <w:rPr>
                <w:rFonts w:eastAsia="楷体"/>
                <w:b/>
                <w:bCs/>
                <w:color w:val="00A5E7"/>
                <w:sz w:val="20"/>
              </w:rPr>
              <w:t>条件</w:t>
            </w:r>
            <w:r>
              <w:rPr>
                <w:rFonts w:eastAsia="楷体"/>
                <w:color w:val="00A5E7"/>
                <w:sz w:val="20"/>
              </w:rPr>
              <w:t>”</w:t>
            </w:r>
          </w:p>
        </w:tc>
        <w:tc>
          <w:tcPr>
            <w:tcW w:w="6768" w:type="dxa"/>
            <w:shd w:val="clear" w:color="auto" w:fill="auto"/>
          </w:tcPr>
          <w:p w:rsidR="00681DDD">
            <w:pPr>
              <w:pStyle w:val="MarginText"/>
              <w:overflowPunct w:val="0"/>
              <w:autoSpaceDE w:val="0"/>
              <w:autoSpaceDN w:val="0"/>
              <w:spacing w:line="276" w:lineRule="auto"/>
              <w:textAlignment w:val="baseline"/>
              <w:rPr>
                <w:rFonts w:eastAsia="楷体"/>
                <w:sz w:val="20"/>
              </w:rPr>
            </w:pPr>
            <w:r>
              <w:rPr>
                <w:rFonts w:eastAsia="楷体"/>
                <w:sz w:val="20"/>
              </w:rPr>
              <w:t>是指本文件所述标准条款条件，（除非上下文另有要求）包括</w:t>
            </w:r>
            <w:r>
              <w:rPr>
                <w:rFonts w:eastAsia="楷体"/>
                <w:sz w:val="20"/>
              </w:rPr>
              <w:t>Vita</w:t>
            </w:r>
            <w:r>
              <w:rPr>
                <w:rFonts w:eastAsia="楷体"/>
                <w:sz w:val="20"/>
              </w:rPr>
              <w:t>与买方书面约定的特别条款条件；凡称</w:t>
            </w:r>
            <w:r>
              <w:rPr>
                <w:rFonts w:eastAsia="楷体"/>
                <w:color w:val="00A5E7"/>
                <w:sz w:val="20"/>
              </w:rPr>
              <w:t>“</w:t>
            </w:r>
            <w:r>
              <w:rPr>
                <w:rFonts w:eastAsia="楷体"/>
                <w:b/>
                <w:bCs/>
                <w:color w:val="00A5E7"/>
                <w:sz w:val="20"/>
              </w:rPr>
              <w:t>条件</w:t>
            </w:r>
            <w:r>
              <w:rPr>
                <w:rFonts w:eastAsia="楷体"/>
                <w:color w:val="00A5E7"/>
                <w:sz w:val="20"/>
              </w:rPr>
              <w:t>”</w:t>
            </w:r>
            <w:r>
              <w:rPr>
                <w:rFonts w:eastAsia="楷体"/>
                <w:sz w:val="20"/>
              </w:rPr>
              <w:t>的，应予相应解释。</w:t>
            </w:r>
          </w:p>
        </w:tc>
      </w:tr>
      <w:tr>
        <w:tblPrEx>
          <w:tblW w:w="9556" w:type="dxa"/>
          <w:tblInd w:w="828" w:type="dxa"/>
          <w:tblLook w:val="04A0"/>
        </w:tblPrEx>
        <w:tc>
          <w:tcPr>
            <w:tcW w:w="2788" w:type="dxa"/>
            <w:shd w:val="clear" w:color="auto" w:fill="auto"/>
          </w:tcPr>
          <w:p w:rsidR="00681DDD">
            <w:pPr>
              <w:pStyle w:val="MarginText"/>
              <w:overflowPunct w:val="0"/>
              <w:autoSpaceDE w:val="0"/>
              <w:autoSpaceDN w:val="0"/>
              <w:spacing w:line="276" w:lineRule="auto"/>
              <w:ind w:left="-108"/>
              <w:jc w:val="left"/>
              <w:textAlignment w:val="baseline"/>
              <w:rPr>
                <w:rFonts w:eastAsia="楷体"/>
                <w:color w:val="00A5E7"/>
                <w:sz w:val="20"/>
              </w:rPr>
            </w:pPr>
            <w:r>
              <w:rPr>
                <w:rFonts w:eastAsia="楷体"/>
                <w:color w:val="00A5E7"/>
                <w:sz w:val="20"/>
              </w:rPr>
              <w:t>“</w:t>
            </w:r>
            <w:r>
              <w:rPr>
                <w:rFonts w:eastAsia="楷体"/>
                <w:b/>
                <w:bCs/>
                <w:color w:val="00A5E7"/>
                <w:sz w:val="20"/>
              </w:rPr>
              <w:t>保密信息</w:t>
            </w:r>
            <w:r>
              <w:rPr>
                <w:rFonts w:eastAsia="楷体"/>
                <w:color w:val="00A5E7"/>
                <w:sz w:val="20"/>
              </w:rPr>
              <w:t>”</w:t>
            </w:r>
          </w:p>
        </w:tc>
        <w:tc>
          <w:tcPr>
            <w:tcW w:w="6768" w:type="dxa"/>
            <w:shd w:val="clear" w:color="auto" w:fill="auto"/>
          </w:tcPr>
          <w:p w:rsidR="00681DDD">
            <w:pPr>
              <w:pStyle w:val="MarginText"/>
              <w:overflowPunct w:val="0"/>
              <w:autoSpaceDE w:val="0"/>
              <w:autoSpaceDN w:val="0"/>
              <w:spacing w:line="276" w:lineRule="auto"/>
              <w:textAlignment w:val="baseline"/>
              <w:rPr>
                <w:rFonts w:eastAsia="楷体"/>
                <w:sz w:val="20"/>
              </w:rPr>
            </w:pPr>
            <w:r>
              <w:rPr>
                <w:rFonts w:eastAsia="楷体"/>
                <w:sz w:val="20"/>
              </w:rPr>
              <w:t>是指一</w:t>
            </w:r>
            <w:r>
              <w:rPr>
                <w:rFonts w:eastAsia="楷体"/>
                <w:sz w:val="20"/>
              </w:rPr>
              <w:t>(1)</w:t>
            </w:r>
            <w:r>
              <w:rPr>
                <w:rFonts w:eastAsia="楷体"/>
                <w:sz w:val="20"/>
              </w:rPr>
              <w:t>方在订单日期之前或之后向另一方披露的所有信息，且以书面方式指定为保密信息，或者对正常人而言属于保密信息，且与一方（或该方集团内任何成员）业务（包括其产品、运营、工艺、定价、计划或意图、开发、配方、商业机密、技术诀窍、设计权、市场机会、人员、披露方的供应商和客户、所有</w:t>
            </w:r>
            <w:r>
              <w:rPr>
                <w:rFonts w:eastAsia="楷体"/>
                <w:sz w:val="20"/>
              </w:rPr>
              <w:t>Vita</w:t>
            </w:r>
            <w:r>
              <w:rPr>
                <w:rFonts w:eastAsia="楷体"/>
                <w:sz w:val="20"/>
              </w:rPr>
              <w:t>数据，以及衍生自以上任意一项的所有信息）相关。</w:t>
            </w:r>
          </w:p>
        </w:tc>
      </w:tr>
      <w:tr>
        <w:tblPrEx>
          <w:tblW w:w="9556" w:type="dxa"/>
          <w:tblInd w:w="828" w:type="dxa"/>
          <w:tblLook w:val="04A0"/>
        </w:tblPrEx>
        <w:tc>
          <w:tcPr>
            <w:tcW w:w="2788" w:type="dxa"/>
            <w:shd w:val="clear" w:color="auto" w:fill="auto"/>
          </w:tcPr>
          <w:p w:rsidR="00681DDD">
            <w:pPr>
              <w:pStyle w:val="MarginText"/>
              <w:overflowPunct w:val="0"/>
              <w:autoSpaceDE w:val="0"/>
              <w:autoSpaceDN w:val="0"/>
              <w:spacing w:line="276" w:lineRule="auto"/>
              <w:ind w:left="-108"/>
              <w:jc w:val="left"/>
              <w:textAlignment w:val="baseline"/>
              <w:rPr>
                <w:rFonts w:eastAsia="楷体"/>
                <w:color w:val="00A5E7"/>
                <w:sz w:val="20"/>
              </w:rPr>
            </w:pPr>
            <w:r>
              <w:rPr>
                <w:rFonts w:eastAsia="楷体"/>
                <w:color w:val="00A5E7"/>
                <w:spacing w:val="-2"/>
                <w:sz w:val="20"/>
              </w:rPr>
              <w:t>“</w:t>
            </w:r>
            <w:r>
              <w:rPr>
                <w:rFonts w:eastAsia="楷体"/>
                <w:b/>
                <w:bCs/>
                <w:color w:val="00A5E7"/>
                <w:spacing w:val="-2"/>
                <w:sz w:val="20"/>
              </w:rPr>
              <w:t>数据保护立法</w:t>
            </w:r>
            <w:r>
              <w:rPr>
                <w:rFonts w:eastAsia="楷体"/>
                <w:color w:val="00A5E7"/>
                <w:spacing w:val="-2"/>
                <w:sz w:val="20"/>
              </w:rPr>
              <w:t>”</w:t>
            </w:r>
          </w:p>
        </w:tc>
        <w:tc>
          <w:tcPr>
            <w:tcW w:w="6768" w:type="dxa"/>
            <w:shd w:val="clear" w:color="auto" w:fill="auto"/>
          </w:tcPr>
          <w:p w:rsidR="00681DDD">
            <w:pPr>
              <w:pStyle w:val="MarginText"/>
              <w:overflowPunct w:val="0"/>
              <w:autoSpaceDE w:val="0"/>
              <w:autoSpaceDN w:val="0"/>
              <w:spacing w:line="276" w:lineRule="auto"/>
              <w:textAlignment w:val="baseline"/>
              <w:rPr>
                <w:rFonts w:eastAsia="楷体"/>
                <w:sz w:val="20"/>
              </w:rPr>
            </w:pPr>
            <w:r>
              <w:rPr>
                <w:rFonts w:eastAsia="楷体"/>
                <w:spacing w:val="-2"/>
                <w:sz w:val="20"/>
              </w:rPr>
              <w:t>是指欧洲议会和欧洲委员会</w:t>
            </w:r>
            <w:r>
              <w:rPr>
                <w:rFonts w:eastAsia="楷体"/>
                <w:spacing w:val="-2"/>
                <w:sz w:val="20"/>
              </w:rPr>
              <w:t>2016/679</w:t>
            </w:r>
            <w:r>
              <w:rPr>
                <w:rFonts w:eastAsia="楷体"/>
                <w:spacing w:val="-2"/>
                <w:sz w:val="20"/>
              </w:rPr>
              <w:t>号条例，即《欧盟通用数据保护条例》</w:t>
            </w:r>
            <w:r>
              <w:rPr>
                <w:rFonts w:eastAsia="楷体"/>
                <w:spacing w:val="-2"/>
                <w:sz w:val="20"/>
              </w:rPr>
              <w:t>(</w:t>
            </w:r>
            <w:r>
              <w:rPr>
                <w:rFonts w:eastAsia="楷体"/>
                <w:color w:val="00B0F0"/>
                <w:spacing w:val="-2"/>
                <w:sz w:val="20"/>
              </w:rPr>
              <w:t>'</w:t>
            </w:r>
            <w:r>
              <w:rPr>
                <w:rFonts w:eastAsia="楷体"/>
                <w:b/>
                <w:color w:val="00B0F0"/>
                <w:spacing w:val="-2"/>
                <w:sz w:val="20"/>
              </w:rPr>
              <w:t>GDPR</w:t>
            </w:r>
            <w:r>
              <w:rPr>
                <w:rFonts w:eastAsia="楷体"/>
                <w:color w:val="00B0F0"/>
                <w:spacing w:val="-2"/>
                <w:sz w:val="20"/>
              </w:rPr>
              <w:t>'</w:t>
            </w:r>
            <w:r>
              <w:rPr>
                <w:rFonts w:eastAsia="楷体"/>
                <w:spacing w:val="-2"/>
                <w:sz w:val="20"/>
              </w:rPr>
              <w:t xml:space="preserve">) </w:t>
            </w:r>
            <w:r>
              <w:rPr>
                <w:rFonts w:eastAsia="楷体"/>
                <w:spacing w:val="-2"/>
                <w:sz w:val="20"/>
              </w:rPr>
              <w:t>和</w:t>
            </w:r>
            <w:r>
              <w:rPr>
                <w:rFonts w:eastAsia="楷体"/>
                <w:spacing w:val="-2"/>
                <w:sz w:val="20"/>
              </w:rPr>
              <w:t>/</w:t>
            </w:r>
            <w:r>
              <w:rPr>
                <w:rFonts w:eastAsia="楷体"/>
                <w:spacing w:val="-2"/>
                <w:sz w:val="20"/>
              </w:rPr>
              <w:t>或其他适用的有关数据保护的立法，或者国家</w:t>
            </w:r>
            <w:r>
              <w:rPr>
                <w:rFonts w:eastAsia="楷体"/>
                <w:spacing w:val="-2"/>
                <w:sz w:val="20"/>
              </w:rPr>
              <w:t>/</w:t>
            </w:r>
            <w:r>
              <w:rPr>
                <w:rFonts w:eastAsia="楷体"/>
                <w:spacing w:val="-2"/>
                <w:sz w:val="20"/>
              </w:rPr>
              <w:t>联邦级别、州</w:t>
            </w:r>
            <w:r>
              <w:rPr>
                <w:rFonts w:eastAsia="楷体"/>
                <w:spacing w:val="-2"/>
                <w:sz w:val="20"/>
              </w:rPr>
              <w:t>/</w:t>
            </w:r>
            <w:r>
              <w:rPr>
                <w:rFonts w:eastAsia="楷体"/>
                <w:spacing w:val="-2"/>
                <w:sz w:val="20"/>
              </w:rPr>
              <w:t>省</w:t>
            </w:r>
            <w:r>
              <w:rPr>
                <w:rFonts w:eastAsia="楷体"/>
                <w:spacing w:val="-2"/>
                <w:sz w:val="20"/>
              </w:rPr>
              <w:t>/</w:t>
            </w:r>
            <w:r>
              <w:rPr>
                <w:rFonts w:eastAsia="楷体"/>
                <w:spacing w:val="-2"/>
                <w:sz w:val="20"/>
              </w:rPr>
              <w:t>酋长国级别现行</w:t>
            </w:r>
            <w:r>
              <w:rPr>
                <w:rFonts w:eastAsia="楷体"/>
                <w:spacing w:val="-2"/>
                <w:sz w:val="20"/>
              </w:rPr>
              <w:t>有效的有关隐私保护的立法，还包括法院、任何当局和其他相关部门不定期发布的相关法律、制定法、决定、指引、指导意见、办法、行为规则和数据保护验证机制。</w:t>
            </w:r>
          </w:p>
        </w:tc>
      </w:tr>
      <w:tr>
        <w:tblPrEx>
          <w:tblW w:w="9556" w:type="dxa"/>
          <w:tblInd w:w="828" w:type="dxa"/>
          <w:tblLook w:val="04A0"/>
        </w:tblPrEx>
        <w:trPr>
          <w:cantSplit/>
        </w:trPr>
        <w:tc>
          <w:tcPr>
            <w:tcW w:w="2788" w:type="dxa"/>
            <w:shd w:val="clear" w:color="auto" w:fill="auto"/>
          </w:tcPr>
          <w:p w:rsidR="00681DDD">
            <w:pPr>
              <w:pStyle w:val="MarginText"/>
              <w:overflowPunct w:val="0"/>
              <w:autoSpaceDE w:val="0"/>
              <w:autoSpaceDN w:val="0"/>
              <w:spacing w:line="276" w:lineRule="auto"/>
              <w:ind w:left="-108"/>
              <w:jc w:val="left"/>
              <w:textAlignment w:val="baseline"/>
              <w:rPr>
                <w:rFonts w:eastAsia="楷体"/>
                <w:color w:val="00A5E7"/>
                <w:sz w:val="20"/>
              </w:rPr>
            </w:pPr>
            <w:r>
              <w:rPr>
                <w:rFonts w:eastAsia="楷体"/>
                <w:color w:val="00A5E7"/>
                <w:sz w:val="20"/>
              </w:rPr>
              <w:t>“</w:t>
            </w:r>
            <w:r>
              <w:rPr>
                <w:rFonts w:eastAsia="楷体" w:hint="eastAsia"/>
                <w:b/>
                <w:bCs/>
                <w:color w:val="00A5E7"/>
                <w:sz w:val="20"/>
              </w:rPr>
              <w:t>不可抗力</w:t>
            </w:r>
            <w:r>
              <w:rPr>
                <w:rFonts w:eastAsia="楷体"/>
                <w:color w:val="00A5E7"/>
                <w:sz w:val="20"/>
              </w:rPr>
              <w:t>”</w:t>
            </w:r>
          </w:p>
        </w:tc>
        <w:tc>
          <w:tcPr>
            <w:tcW w:w="6768" w:type="dxa"/>
            <w:shd w:val="clear" w:color="auto" w:fill="auto"/>
          </w:tcPr>
          <w:p w:rsidR="00681DDD">
            <w:pPr>
              <w:pStyle w:val="MarginText"/>
              <w:overflowPunct w:val="0"/>
              <w:autoSpaceDE w:val="0"/>
              <w:autoSpaceDN w:val="0"/>
              <w:spacing w:line="276" w:lineRule="auto"/>
              <w:textAlignment w:val="baseline"/>
              <w:rPr>
                <w:rFonts w:eastAsia="楷体"/>
                <w:sz w:val="20"/>
              </w:rPr>
            </w:pPr>
            <w:r>
              <w:rPr>
                <w:rFonts w:eastAsia="楷体"/>
                <w:sz w:val="20"/>
              </w:rPr>
              <w:t>是指超出</w:t>
            </w:r>
            <w:r>
              <w:rPr>
                <w:rFonts w:eastAsia="楷体"/>
                <w:sz w:val="20"/>
              </w:rPr>
              <w:t>Vita</w:t>
            </w:r>
            <w:r>
              <w:rPr>
                <w:rFonts w:eastAsia="楷体"/>
                <w:sz w:val="20"/>
              </w:rPr>
              <w:t>合理控制的任何事件，包括但不限于以下情形：</w:t>
            </w:r>
          </w:p>
          <w:p w:rsidR="00681DDD">
            <w:pPr>
              <w:pStyle w:val="MarginText"/>
              <w:numPr>
                <w:ilvl w:val="0"/>
                <w:numId w:val="15"/>
              </w:numPr>
              <w:overflowPunct w:val="0"/>
              <w:autoSpaceDE w:val="0"/>
              <w:autoSpaceDN w:val="0"/>
              <w:spacing w:line="276" w:lineRule="auto"/>
              <w:textAlignment w:val="baseline"/>
              <w:rPr>
                <w:rFonts w:eastAsia="楷体"/>
                <w:sz w:val="20"/>
              </w:rPr>
            </w:pPr>
            <w:r>
              <w:rPr>
                <w:rFonts w:eastAsia="楷体"/>
                <w:sz w:val="20"/>
              </w:rPr>
              <w:t>天灾、水灾、旱灾、地震或其他自然灾害；</w:t>
            </w:r>
          </w:p>
          <w:p w:rsidR="00681DDD">
            <w:pPr>
              <w:pStyle w:val="MarginText"/>
              <w:numPr>
                <w:ilvl w:val="0"/>
                <w:numId w:val="15"/>
              </w:numPr>
              <w:overflowPunct w:val="0"/>
              <w:autoSpaceDE w:val="0"/>
              <w:autoSpaceDN w:val="0"/>
              <w:spacing w:line="276" w:lineRule="auto"/>
              <w:textAlignment w:val="baseline"/>
              <w:rPr>
                <w:rFonts w:eastAsia="楷体"/>
                <w:sz w:val="20"/>
              </w:rPr>
            </w:pPr>
            <w:r>
              <w:rPr>
                <w:rFonts w:eastAsia="楷体"/>
                <w:sz w:val="20"/>
              </w:rPr>
              <w:t>恐怖袭击、内战、民事骚乱或暴乱、战争威胁或战争准备、武装冲突；</w:t>
            </w:r>
          </w:p>
          <w:p w:rsidR="00681DDD">
            <w:pPr>
              <w:pStyle w:val="MarginText"/>
              <w:numPr>
                <w:ilvl w:val="0"/>
                <w:numId w:val="15"/>
              </w:numPr>
              <w:overflowPunct w:val="0"/>
              <w:autoSpaceDE w:val="0"/>
              <w:autoSpaceDN w:val="0"/>
              <w:spacing w:line="276" w:lineRule="auto"/>
              <w:textAlignment w:val="baseline"/>
              <w:rPr>
                <w:rFonts w:eastAsia="楷体"/>
                <w:sz w:val="20"/>
              </w:rPr>
            </w:pPr>
            <w:r>
              <w:rPr>
                <w:rFonts w:eastAsia="楷体"/>
                <w:sz w:val="20"/>
              </w:rPr>
              <w:t>核污染、化学污染、生物污染或音爆；</w:t>
            </w:r>
          </w:p>
          <w:p w:rsidR="00681DDD">
            <w:pPr>
              <w:pStyle w:val="MarginText"/>
              <w:numPr>
                <w:ilvl w:val="0"/>
                <w:numId w:val="15"/>
              </w:numPr>
              <w:overflowPunct w:val="0"/>
              <w:autoSpaceDE w:val="0"/>
              <w:autoSpaceDN w:val="0"/>
              <w:spacing w:line="276" w:lineRule="auto"/>
              <w:textAlignment w:val="baseline"/>
              <w:rPr>
                <w:rFonts w:eastAsia="楷体"/>
                <w:sz w:val="20"/>
              </w:rPr>
            </w:pPr>
            <w:r>
              <w:rPr>
                <w:rFonts w:eastAsia="楷体"/>
                <w:sz w:val="20"/>
              </w:rPr>
              <w:t>火灾或爆炸；</w:t>
            </w:r>
          </w:p>
          <w:p w:rsidR="00681DDD">
            <w:pPr>
              <w:pStyle w:val="MarginText"/>
              <w:numPr>
                <w:ilvl w:val="0"/>
                <w:numId w:val="15"/>
              </w:numPr>
              <w:overflowPunct w:val="0"/>
              <w:autoSpaceDE w:val="0"/>
              <w:autoSpaceDN w:val="0"/>
              <w:spacing w:line="276" w:lineRule="auto"/>
              <w:textAlignment w:val="baseline"/>
              <w:rPr>
                <w:rFonts w:eastAsia="楷体"/>
                <w:sz w:val="20"/>
              </w:rPr>
            </w:pPr>
            <w:r>
              <w:rPr>
                <w:rFonts w:eastAsia="楷体"/>
                <w:sz w:val="20"/>
              </w:rPr>
              <w:t>供应商供货延误或不供货，或物料短缺；</w:t>
            </w:r>
          </w:p>
          <w:p w:rsidR="00681DDD">
            <w:pPr>
              <w:pStyle w:val="MarginText"/>
              <w:numPr>
                <w:ilvl w:val="0"/>
                <w:numId w:val="15"/>
              </w:numPr>
              <w:overflowPunct w:val="0"/>
              <w:autoSpaceDE w:val="0"/>
              <w:autoSpaceDN w:val="0"/>
              <w:spacing w:line="276" w:lineRule="auto"/>
              <w:textAlignment w:val="baseline"/>
              <w:rPr>
                <w:rFonts w:eastAsia="楷体"/>
                <w:sz w:val="20"/>
              </w:rPr>
            </w:pPr>
            <w:r>
              <w:rPr>
                <w:rFonts w:eastAsia="楷体"/>
                <w:sz w:val="20"/>
              </w:rPr>
              <w:t>难以取得工人、商品或运输或者成本增加，或者其他影响商品或服务供应的情形；</w:t>
            </w:r>
          </w:p>
          <w:p w:rsidR="00681DDD">
            <w:pPr>
              <w:pStyle w:val="MarginText"/>
              <w:numPr>
                <w:ilvl w:val="0"/>
                <w:numId w:val="15"/>
              </w:numPr>
              <w:overflowPunct w:val="0"/>
              <w:autoSpaceDE w:val="0"/>
              <w:autoSpaceDN w:val="0"/>
              <w:spacing w:line="276" w:lineRule="auto"/>
              <w:textAlignment w:val="baseline"/>
              <w:rPr>
                <w:rFonts w:eastAsia="楷体"/>
                <w:sz w:val="20"/>
              </w:rPr>
            </w:pPr>
            <w:r>
              <w:rPr>
                <w:rFonts w:eastAsia="楷体"/>
                <w:sz w:val="20"/>
              </w:rPr>
              <w:t>遵守法律；</w:t>
            </w:r>
          </w:p>
          <w:p w:rsidR="00681DDD">
            <w:pPr>
              <w:pStyle w:val="MarginText"/>
              <w:numPr>
                <w:ilvl w:val="0"/>
                <w:numId w:val="15"/>
              </w:numPr>
              <w:overflowPunct w:val="0"/>
              <w:autoSpaceDE w:val="0"/>
              <w:autoSpaceDN w:val="0"/>
              <w:spacing w:line="276" w:lineRule="auto"/>
              <w:textAlignment w:val="baseline"/>
              <w:rPr>
                <w:rFonts w:eastAsia="楷体"/>
                <w:sz w:val="20"/>
              </w:rPr>
            </w:pPr>
            <w:r>
              <w:rPr>
                <w:rFonts w:eastAsia="楷体"/>
                <w:sz w:val="20"/>
              </w:rPr>
              <w:t>政府或公共当局采取的任何措施，包括禁运、进口或出口限制、配额或其他限制或禁止措施，或者不给予任何必要许可或同意；</w:t>
            </w:r>
          </w:p>
          <w:p w:rsidR="00681DDD">
            <w:pPr>
              <w:pStyle w:val="MarginText"/>
              <w:numPr>
                <w:ilvl w:val="0"/>
                <w:numId w:val="15"/>
              </w:numPr>
              <w:overflowPunct w:val="0"/>
              <w:autoSpaceDE w:val="0"/>
              <w:autoSpaceDN w:val="0"/>
              <w:spacing w:line="276" w:lineRule="auto"/>
              <w:textAlignment w:val="baseline"/>
              <w:rPr>
                <w:rFonts w:eastAsia="楷体"/>
                <w:sz w:val="20"/>
              </w:rPr>
            </w:pPr>
            <w:r>
              <w:rPr>
                <w:rFonts w:eastAsia="楷体"/>
                <w:sz w:val="20"/>
              </w:rPr>
              <w:t>事故、电力不足或者工厂或机械故障；以及</w:t>
            </w:r>
          </w:p>
          <w:p w:rsidR="00681DDD">
            <w:pPr>
              <w:pStyle w:val="MarginText"/>
              <w:numPr>
                <w:ilvl w:val="0"/>
                <w:numId w:val="15"/>
              </w:numPr>
              <w:overflowPunct w:val="0"/>
              <w:autoSpaceDE w:val="0"/>
              <w:autoSpaceDN w:val="0"/>
              <w:spacing w:line="276" w:lineRule="auto"/>
              <w:textAlignment w:val="baseline"/>
              <w:rPr>
                <w:rFonts w:eastAsia="楷体"/>
                <w:sz w:val="20"/>
              </w:rPr>
            </w:pPr>
            <w:r>
              <w:rPr>
                <w:rFonts w:eastAsia="楷体"/>
                <w:sz w:val="20"/>
              </w:rPr>
              <w:t>罢工、闭长、停工、怠工或任何其他劳工纠纷或劳动争议。</w:t>
            </w:r>
          </w:p>
        </w:tc>
      </w:tr>
      <w:tr>
        <w:tblPrEx>
          <w:tblW w:w="9556" w:type="dxa"/>
          <w:tblInd w:w="828" w:type="dxa"/>
          <w:tblLook w:val="04A0"/>
        </w:tblPrEx>
        <w:tc>
          <w:tcPr>
            <w:tcW w:w="2788" w:type="dxa"/>
            <w:shd w:val="clear" w:color="auto" w:fill="auto"/>
          </w:tcPr>
          <w:p w:rsidR="00681DDD">
            <w:pPr>
              <w:pStyle w:val="MarginText"/>
              <w:overflowPunct w:val="0"/>
              <w:autoSpaceDE w:val="0"/>
              <w:autoSpaceDN w:val="0"/>
              <w:spacing w:line="276" w:lineRule="auto"/>
              <w:ind w:left="-108"/>
              <w:jc w:val="left"/>
              <w:textAlignment w:val="baseline"/>
              <w:rPr>
                <w:rFonts w:eastAsia="楷体"/>
                <w:color w:val="00A5E7"/>
                <w:sz w:val="20"/>
              </w:rPr>
            </w:pPr>
            <w:r>
              <w:rPr>
                <w:rFonts w:eastAsia="楷体"/>
                <w:color w:val="00A5E7"/>
                <w:sz w:val="20"/>
              </w:rPr>
              <w:t>“</w:t>
            </w:r>
            <w:r>
              <w:rPr>
                <w:rFonts w:eastAsia="楷体"/>
                <w:b/>
                <w:bCs/>
                <w:color w:val="00A5E7"/>
                <w:sz w:val="20"/>
              </w:rPr>
              <w:t>商品</w:t>
            </w:r>
            <w:r>
              <w:rPr>
                <w:rFonts w:eastAsia="楷体"/>
                <w:color w:val="00A5E7"/>
                <w:sz w:val="20"/>
              </w:rPr>
              <w:t>”</w:t>
            </w:r>
          </w:p>
        </w:tc>
        <w:tc>
          <w:tcPr>
            <w:tcW w:w="6768" w:type="dxa"/>
            <w:shd w:val="clear" w:color="auto" w:fill="auto"/>
          </w:tcPr>
          <w:p w:rsidR="00681DDD">
            <w:pPr>
              <w:pStyle w:val="MarginText"/>
              <w:overflowPunct w:val="0"/>
              <w:autoSpaceDE w:val="0"/>
              <w:autoSpaceDN w:val="0"/>
              <w:spacing w:line="276" w:lineRule="auto"/>
              <w:textAlignment w:val="baseline"/>
              <w:rPr>
                <w:rFonts w:eastAsia="楷体"/>
                <w:sz w:val="20"/>
              </w:rPr>
            </w:pPr>
            <w:r>
              <w:rPr>
                <w:rFonts w:eastAsia="楷体"/>
                <w:sz w:val="20"/>
              </w:rPr>
              <w:t>是指</w:t>
            </w:r>
            <w:r>
              <w:rPr>
                <w:rFonts w:eastAsia="楷体"/>
                <w:sz w:val="20"/>
              </w:rPr>
              <w:t>Vita</w:t>
            </w:r>
            <w:r>
              <w:rPr>
                <w:rFonts w:eastAsia="楷体"/>
                <w:sz w:val="20"/>
              </w:rPr>
              <w:t>根据条件供应的订购表格所述商品（包括任何一批商品或其中任何部分）。</w:t>
            </w:r>
          </w:p>
        </w:tc>
      </w:tr>
      <w:tr>
        <w:tblPrEx>
          <w:tblW w:w="9556" w:type="dxa"/>
          <w:tblInd w:w="828" w:type="dxa"/>
          <w:tblLook w:val="04A0"/>
        </w:tblPrEx>
        <w:tc>
          <w:tcPr>
            <w:tcW w:w="2788" w:type="dxa"/>
            <w:shd w:val="clear" w:color="auto" w:fill="auto"/>
          </w:tcPr>
          <w:p w:rsidR="00681DDD">
            <w:pPr>
              <w:pStyle w:val="MarginText"/>
              <w:overflowPunct w:val="0"/>
              <w:autoSpaceDE w:val="0"/>
              <w:autoSpaceDN w:val="0"/>
              <w:spacing w:line="276" w:lineRule="auto"/>
              <w:ind w:left="-108"/>
              <w:jc w:val="left"/>
              <w:textAlignment w:val="baseline"/>
              <w:rPr>
                <w:rFonts w:eastAsia="楷体"/>
                <w:color w:val="00A5E7"/>
                <w:sz w:val="20"/>
              </w:rPr>
            </w:pPr>
            <w:r>
              <w:rPr>
                <w:rFonts w:eastAsia="楷体"/>
                <w:color w:val="00A5E7"/>
                <w:spacing w:val="-2"/>
                <w:sz w:val="20"/>
              </w:rPr>
              <w:t>'</w:t>
            </w:r>
            <w:r>
              <w:rPr>
                <w:rFonts w:eastAsia="楷体"/>
                <w:b/>
                <w:color w:val="00A5E7"/>
                <w:spacing w:val="-2"/>
                <w:sz w:val="20"/>
              </w:rPr>
              <w:t>Incoterms</w:t>
            </w:r>
            <w:r>
              <w:rPr>
                <w:rFonts w:eastAsia="楷体"/>
                <w:color w:val="00A5E7"/>
                <w:spacing w:val="-2"/>
                <w:sz w:val="20"/>
              </w:rPr>
              <w:t>'</w:t>
            </w:r>
          </w:p>
        </w:tc>
        <w:tc>
          <w:tcPr>
            <w:tcW w:w="6768" w:type="dxa"/>
            <w:shd w:val="clear" w:color="auto" w:fill="auto"/>
          </w:tcPr>
          <w:p w:rsidR="00681DDD">
            <w:pPr>
              <w:pStyle w:val="MarginText"/>
              <w:overflowPunct w:val="0"/>
              <w:autoSpaceDE w:val="0"/>
              <w:autoSpaceDN w:val="0"/>
              <w:spacing w:line="276" w:lineRule="auto"/>
              <w:textAlignment w:val="baseline"/>
              <w:rPr>
                <w:rFonts w:eastAsia="楷体"/>
                <w:sz w:val="20"/>
              </w:rPr>
            </w:pPr>
            <w:r>
              <w:rPr>
                <w:rFonts w:eastAsia="楷体"/>
                <w:sz w:val="20"/>
              </w:rPr>
              <w:t>是指订单下达时有效的《国际商会国际贸易术语解释通则》。</w:t>
            </w:r>
          </w:p>
        </w:tc>
      </w:tr>
      <w:tr>
        <w:tblPrEx>
          <w:tblW w:w="9556" w:type="dxa"/>
          <w:tblInd w:w="828" w:type="dxa"/>
          <w:tblLook w:val="04A0"/>
        </w:tblPrEx>
        <w:tc>
          <w:tcPr>
            <w:tcW w:w="2788" w:type="dxa"/>
            <w:shd w:val="clear" w:color="auto" w:fill="auto"/>
          </w:tcPr>
          <w:p w:rsidR="00681DDD">
            <w:pPr>
              <w:pStyle w:val="MarginText"/>
              <w:overflowPunct w:val="0"/>
              <w:autoSpaceDE w:val="0"/>
              <w:autoSpaceDN w:val="0"/>
              <w:spacing w:line="276" w:lineRule="auto"/>
              <w:ind w:left="-108"/>
              <w:jc w:val="left"/>
              <w:textAlignment w:val="baseline"/>
              <w:rPr>
                <w:rFonts w:eastAsia="楷体"/>
                <w:color w:val="00A5E7"/>
                <w:spacing w:val="-2"/>
                <w:sz w:val="20"/>
              </w:rPr>
            </w:pPr>
            <w:r>
              <w:rPr>
                <w:rFonts w:eastAsia="楷体"/>
                <w:color w:val="00A5E7"/>
                <w:spacing w:val="-2"/>
                <w:sz w:val="20"/>
              </w:rPr>
              <w:t>“</w:t>
            </w:r>
            <w:r>
              <w:rPr>
                <w:rFonts w:eastAsia="楷体"/>
                <w:b/>
                <w:bCs/>
                <w:color w:val="00A5E7"/>
                <w:spacing w:val="-2"/>
                <w:sz w:val="20"/>
              </w:rPr>
              <w:t>资不抵债事件</w:t>
            </w:r>
            <w:r>
              <w:rPr>
                <w:rFonts w:eastAsia="楷体"/>
                <w:color w:val="00A5E7"/>
                <w:spacing w:val="-2"/>
                <w:sz w:val="20"/>
              </w:rPr>
              <w:t>”</w:t>
            </w:r>
          </w:p>
        </w:tc>
        <w:tc>
          <w:tcPr>
            <w:tcW w:w="6768" w:type="dxa"/>
            <w:shd w:val="clear" w:color="auto" w:fill="auto"/>
          </w:tcPr>
          <w:p w:rsidR="00681DDD">
            <w:pPr>
              <w:pStyle w:val="MarginText"/>
              <w:overflowPunct w:val="0"/>
              <w:autoSpaceDE w:val="0"/>
              <w:autoSpaceDN w:val="0"/>
              <w:spacing w:line="276" w:lineRule="auto"/>
              <w:textAlignment w:val="baseline"/>
              <w:rPr>
                <w:rFonts w:eastAsia="楷体"/>
                <w:spacing w:val="-2"/>
                <w:sz w:val="20"/>
              </w:rPr>
            </w:pPr>
            <w:r>
              <w:rPr>
                <w:rFonts w:eastAsia="楷体"/>
                <w:spacing w:val="-2"/>
                <w:sz w:val="20"/>
              </w:rPr>
              <w:t>是指任何一方（</w:t>
            </w:r>
            <w:r>
              <w:rPr>
                <w:rFonts w:eastAsia="楷体"/>
                <w:spacing w:val="-2"/>
                <w:sz w:val="20"/>
              </w:rPr>
              <w:t>“</w:t>
            </w:r>
            <w:r>
              <w:rPr>
                <w:rFonts w:eastAsia="楷体" w:hint="eastAsia"/>
                <w:b/>
                <w:bCs/>
                <w:spacing w:val="-2"/>
                <w:sz w:val="20"/>
              </w:rPr>
              <w:t>资不抵债方</w:t>
            </w:r>
            <w:r>
              <w:rPr>
                <w:rFonts w:eastAsia="楷体"/>
                <w:spacing w:val="-2"/>
                <w:sz w:val="20"/>
              </w:rPr>
              <w:t>”</w:t>
            </w:r>
            <w:r>
              <w:rPr>
                <w:rFonts w:eastAsia="楷体"/>
                <w:spacing w:val="-2"/>
                <w:sz w:val="20"/>
              </w:rPr>
              <w:t>）：</w:t>
            </w:r>
          </w:p>
          <w:p w:rsidR="00681DDD">
            <w:pPr>
              <w:pStyle w:val="MarginText"/>
              <w:numPr>
                <w:ilvl w:val="0"/>
                <w:numId w:val="16"/>
              </w:numPr>
              <w:overflowPunct w:val="0"/>
              <w:autoSpaceDE w:val="0"/>
              <w:autoSpaceDN w:val="0"/>
              <w:spacing w:line="276" w:lineRule="auto"/>
              <w:textAlignment w:val="baseline"/>
              <w:rPr>
                <w:rFonts w:eastAsia="楷体"/>
                <w:spacing w:val="-2"/>
                <w:sz w:val="20"/>
              </w:rPr>
            </w:pPr>
            <w:r>
              <w:rPr>
                <w:rFonts w:eastAsia="楷体"/>
                <w:spacing w:val="-2"/>
                <w:sz w:val="20"/>
              </w:rPr>
              <w:t>已经提出歇业申请，或者已经委派临时清算人、管理人、行政接管人或接管人，或者已经提议安排计划或自愿安排；</w:t>
            </w:r>
          </w:p>
          <w:p w:rsidR="00681DDD">
            <w:pPr>
              <w:pStyle w:val="MarginText"/>
              <w:numPr>
                <w:ilvl w:val="0"/>
                <w:numId w:val="16"/>
              </w:numPr>
              <w:overflowPunct w:val="0"/>
              <w:autoSpaceDE w:val="0"/>
              <w:autoSpaceDN w:val="0"/>
              <w:spacing w:line="276" w:lineRule="auto"/>
              <w:textAlignment w:val="baseline"/>
              <w:rPr>
                <w:rFonts w:eastAsia="楷体"/>
                <w:spacing w:val="-2"/>
                <w:sz w:val="20"/>
              </w:rPr>
            </w:pPr>
            <w:r>
              <w:rPr>
                <w:rFonts w:eastAsia="楷体"/>
                <w:spacing w:val="-2"/>
                <w:sz w:val="20"/>
              </w:rPr>
              <w:t>被宣布破产或已经对其启动破产程序，进入强制或自愿清算，但为开展资可抵债状态下的重组或合并而自愿清算的除外；</w:t>
            </w:r>
          </w:p>
          <w:p w:rsidR="00681DDD">
            <w:pPr>
              <w:pStyle w:val="MarginText"/>
              <w:numPr>
                <w:ilvl w:val="0"/>
                <w:numId w:val="16"/>
              </w:numPr>
              <w:overflowPunct w:val="0"/>
              <w:autoSpaceDE w:val="0"/>
              <w:autoSpaceDN w:val="0"/>
              <w:spacing w:line="276" w:lineRule="auto"/>
              <w:textAlignment w:val="baseline"/>
              <w:rPr>
                <w:rFonts w:eastAsia="楷体"/>
                <w:spacing w:val="-2"/>
                <w:sz w:val="20"/>
              </w:rPr>
            </w:pPr>
            <w:r>
              <w:rPr>
                <w:rFonts w:eastAsia="楷体"/>
                <w:spacing w:val="-2"/>
                <w:sz w:val="20"/>
              </w:rPr>
              <w:t>根据中国法律无力偿还债务；或</w:t>
            </w:r>
          </w:p>
          <w:p w:rsidR="00681DDD">
            <w:pPr>
              <w:pStyle w:val="MarginText"/>
              <w:numPr>
                <w:ilvl w:val="0"/>
                <w:numId w:val="16"/>
              </w:numPr>
              <w:overflowPunct w:val="0"/>
              <w:autoSpaceDE w:val="0"/>
              <w:autoSpaceDN w:val="0"/>
              <w:spacing w:line="276" w:lineRule="auto"/>
              <w:textAlignment w:val="baseline"/>
              <w:rPr>
                <w:rFonts w:eastAsia="楷体"/>
                <w:spacing w:val="-2"/>
                <w:sz w:val="20"/>
              </w:rPr>
            </w:pPr>
            <w:r>
              <w:rPr>
                <w:rFonts w:eastAsia="楷体"/>
                <w:spacing w:val="-2"/>
                <w:sz w:val="20"/>
              </w:rPr>
              <w:t>（根据中国或其他地区法律）进入任何其他类似资不抵债流程，或进入以上</w:t>
            </w:r>
            <w:r>
              <w:rPr>
                <w:rFonts w:eastAsia="楷体"/>
                <w:spacing w:val="-2"/>
                <w:sz w:val="20"/>
              </w:rPr>
              <w:t>(a)</w:t>
            </w:r>
            <w:r>
              <w:rPr>
                <w:rFonts w:eastAsia="楷体"/>
                <w:spacing w:val="-2"/>
                <w:sz w:val="20"/>
              </w:rPr>
              <w:t>至</w:t>
            </w:r>
            <w:r>
              <w:rPr>
                <w:rFonts w:eastAsia="楷体"/>
                <w:spacing w:val="-2"/>
                <w:sz w:val="20"/>
              </w:rPr>
              <w:t>(c)</w:t>
            </w:r>
            <w:r>
              <w:rPr>
                <w:rFonts w:eastAsia="楷体"/>
                <w:spacing w:val="-2"/>
                <w:sz w:val="20"/>
              </w:rPr>
              <w:t>状态。</w:t>
            </w:r>
          </w:p>
        </w:tc>
      </w:tr>
      <w:tr>
        <w:tblPrEx>
          <w:tblW w:w="9556" w:type="dxa"/>
          <w:tblInd w:w="828" w:type="dxa"/>
          <w:tblLook w:val="04A0"/>
        </w:tblPrEx>
        <w:tc>
          <w:tcPr>
            <w:tcW w:w="2788" w:type="dxa"/>
            <w:shd w:val="clear" w:color="auto" w:fill="auto"/>
          </w:tcPr>
          <w:p w:rsidR="00681DDD">
            <w:pPr>
              <w:pStyle w:val="MarginText"/>
              <w:overflowPunct w:val="0"/>
              <w:autoSpaceDE w:val="0"/>
              <w:autoSpaceDN w:val="0"/>
              <w:spacing w:line="276" w:lineRule="auto"/>
              <w:ind w:left="-108"/>
              <w:jc w:val="left"/>
              <w:textAlignment w:val="baseline"/>
              <w:rPr>
                <w:rFonts w:eastAsia="楷体"/>
                <w:color w:val="00A5E7"/>
                <w:sz w:val="20"/>
              </w:rPr>
            </w:pPr>
            <w:r>
              <w:rPr>
                <w:rFonts w:eastAsia="楷体"/>
                <w:color w:val="00A5E7"/>
                <w:spacing w:val="-2"/>
                <w:sz w:val="20"/>
              </w:rPr>
              <w:t>“</w:t>
            </w:r>
            <w:r>
              <w:rPr>
                <w:rFonts w:eastAsia="楷体"/>
                <w:b/>
                <w:bCs/>
                <w:color w:val="00A5E7"/>
                <w:spacing w:val="-2"/>
                <w:sz w:val="20"/>
              </w:rPr>
              <w:t>开账条款</w:t>
            </w:r>
            <w:r>
              <w:rPr>
                <w:rFonts w:eastAsia="楷体"/>
                <w:color w:val="00A5E7"/>
                <w:spacing w:val="-2"/>
                <w:sz w:val="20"/>
              </w:rPr>
              <w:t>”</w:t>
            </w:r>
          </w:p>
        </w:tc>
        <w:tc>
          <w:tcPr>
            <w:tcW w:w="6768" w:type="dxa"/>
            <w:shd w:val="clear" w:color="auto" w:fill="auto"/>
          </w:tcPr>
          <w:p w:rsidR="00681DDD">
            <w:pPr>
              <w:pStyle w:val="MarginText"/>
              <w:overflowPunct w:val="0"/>
              <w:autoSpaceDE w:val="0"/>
              <w:autoSpaceDN w:val="0"/>
              <w:spacing w:line="276" w:lineRule="auto"/>
              <w:textAlignment w:val="baseline"/>
              <w:rPr>
                <w:rFonts w:eastAsia="楷体"/>
                <w:sz w:val="20"/>
              </w:rPr>
            </w:pPr>
            <w:r>
              <w:rPr>
                <w:rFonts w:eastAsia="楷体"/>
                <w:spacing w:val="-2"/>
                <w:sz w:val="20"/>
              </w:rPr>
              <w:t>是指订购表格载明的关于开账单的条款。</w:t>
            </w:r>
            <w:r>
              <w:rPr>
                <w:rFonts w:eastAsia="楷体"/>
                <w:spacing w:val="-2"/>
                <w:sz w:val="20"/>
              </w:rPr>
              <w:t xml:space="preserve"> </w:t>
            </w:r>
          </w:p>
        </w:tc>
      </w:tr>
      <w:tr>
        <w:tblPrEx>
          <w:tblW w:w="9556" w:type="dxa"/>
          <w:tblInd w:w="828" w:type="dxa"/>
          <w:tblLook w:val="04A0"/>
        </w:tblPrEx>
        <w:tc>
          <w:tcPr>
            <w:tcW w:w="2788" w:type="dxa"/>
            <w:shd w:val="clear" w:color="auto" w:fill="auto"/>
          </w:tcPr>
          <w:p w:rsidR="00681DDD">
            <w:pPr>
              <w:pStyle w:val="MarginText"/>
              <w:overflowPunct w:val="0"/>
              <w:autoSpaceDE w:val="0"/>
              <w:autoSpaceDN w:val="0"/>
              <w:spacing w:line="276" w:lineRule="auto"/>
              <w:ind w:left="-108"/>
              <w:jc w:val="left"/>
              <w:textAlignment w:val="baseline"/>
              <w:rPr>
                <w:rFonts w:eastAsia="楷体"/>
                <w:b/>
                <w:color w:val="00A5E7"/>
                <w:spacing w:val="-2"/>
                <w:sz w:val="20"/>
              </w:rPr>
            </w:pPr>
            <w:r>
              <w:rPr>
                <w:rFonts w:eastAsia="楷体"/>
                <w:color w:val="00A5E7"/>
                <w:sz w:val="20"/>
              </w:rPr>
              <w:t>“</w:t>
            </w:r>
            <w:r>
              <w:rPr>
                <w:rFonts w:eastAsia="楷体"/>
                <w:b/>
                <w:bCs/>
                <w:color w:val="00A5E7"/>
                <w:sz w:val="20"/>
              </w:rPr>
              <w:t>订单</w:t>
            </w:r>
            <w:r>
              <w:rPr>
                <w:rFonts w:eastAsia="楷体"/>
                <w:color w:val="00A5E7"/>
                <w:sz w:val="20"/>
              </w:rPr>
              <w:t>”</w:t>
            </w:r>
          </w:p>
        </w:tc>
        <w:tc>
          <w:tcPr>
            <w:tcW w:w="6768" w:type="dxa"/>
            <w:shd w:val="clear" w:color="auto" w:fill="auto"/>
          </w:tcPr>
          <w:p w:rsidR="00681DDD">
            <w:pPr>
              <w:pStyle w:val="MarginText"/>
              <w:overflowPunct w:val="0"/>
              <w:autoSpaceDE w:val="0"/>
              <w:autoSpaceDN w:val="0"/>
              <w:spacing w:line="276" w:lineRule="auto"/>
              <w:textAlignment w:val="baseline"/>
              <w:rPr>
                <w:rFonts w:eastAsia="楷体"/>
                <w:spacing w:val="-2"/>
                <w:sz w:val="20"/>
              </w:rPr>
            </w:pPr>
            <w:r>
              <w:rPr>
                <w:rFonts w:eastAsia="楷体"/>
                <w:sz w:val="20"/>
              </w:rPr>
              <w:t>是指相关订购表格与条件。</w:t>
            </w:r>
          </w:p>
        </w:tc>
      </w:tr>
      <w:tr>
        <w:tblPrEx>
          <w:tblW w:w="9556" w:type="dxa"/>
          <w:tblInd w:w="828" w:type="dxa"/>
          <w:tblLook w:val="04A0"/>
        </w:tblPrEx>
        <w:tc>
          <w:tcPr>
            <w:tcW w:w="2788" w:type="dxa"/>
            <w:shd w:val="clear" w:color="auto" w:fill="auto"/>
          </w:tcPr>
          <w:p w:rsidR="00681DDD">
            <w:pPr>
              <w:pStyle w:val="MarginText"/>
              <w:overflowPunct w:val="0"/>
              <w:autoSpaceDE w:val="0"/>
              <w:autoSpaceDN w:val="0"/>
              <w:spacing w:line="276" w:lineRule="auto"/>
              <w:ind w:left="-108"/>
              <w:jc w:val="left"/>
              <w:textAlignment w:val="baseline"/>
              <w:rPr>
                <w:rFonts w:eastAsia="楷体"/>
                <w:color w:val="00A5E7"/>
                <w:sz w:val="20"/>
              </w:rPr>
            </w:pPr>
            <w:r>
              <w:rPr>
                <w:rFonts w:eastAsia="楷体"/>
                <w:color w:val="00A5E7"/>
                <w:sz w:val="20"/>
              </w:rPr>
              <w:t>“</w:t>
            </w:r>
            <w:r>
              <w:rPr>
                <w:rFonts w:eastAsia="楷体"/>
                <w:b/>
                <w:bCs/>
                <w:color w:val="00A5E7"/>
                <w:sz w:val="20"/>
              </w:rPr>
              <w:t>订单表格</w:t>
            </w:r>
            <w:r>
              <w:rPr>
                <w:rFonts w:eastAsia="楷体"/>
                <w:color w:val="00A5E7"/>
                <w:sz w:val="20"/>
              </w:rPr>
              <w:t>”</w:t>
            </w:r>
          </w:p>
        </w:tc>
        <w:tc>
          <w:tcPr>
            <w:tcW w:w="6768" w:type="dxa"/>
            <w:shd w:val="clear" w:color="auto" w:fill="auto"/>
          </w:tcPr>
          <w:p w:rsidR="00681DDD">
            <w:pPr>
              <w:pStyle w:val="MarginText"/>
              <w:overflowPunct w:val="0"/>
              <w:autoSpaceDE w:val="0"/>
              <w:autoSpaceDN w:val="0"/>
              <w:spacing w:line="276" w:lineRule="auto"/>
              <w:textAlignment w:val="baseline"/>
              <w:rPr>
                <w:rFonts w:eastAsia="楷体"/>
                <w:sz w:val="20"/>
              </w:rPr>
            </w:pPr>
            <w:r>
              <w:rPr>
                <w:rFonts w:eastAsia="楷体"/>
                <w:sz w:val="20"/>
              </w:rPr>
              <w:t>是指订购表格载明的订单编号。</w:t>
            </w:r>
          </w:p>
        </w:tc>
      </w:tr>
      <w:tr>
        <w:tblPrEx>
          <w:tblW w:w="9556" w:type="dxa"/>
          <w:tblInd w:w="828" w:type="dxa"/>
          <w:tblLook w:val="04A0"/>
        </w:tblPrEx>
        <w:tc>
          <w:tcPr>
            <w:tcW w:w="2788" w:type="dxa"/>
            <w:shd w:val="clear" w:color="auto" w:fill="auto"/>
          </w:tcPr>
          <w:p w:rsidR="00681DDD">
            <w:pPr>
              <w:pStyle w:val="MarginText"/>
              <w:overflowPunct w:val="0"/>
              <w:autoSpaceDE w:val="0"/>
              <w:autoSpaceDN w:val="0"/>
              <w:spacing w:line="276" w:lineRule="auto"/>
              <w:ind w:left="-108"/>
              <w:jc w:val="left"/>
              <w:textAlignment w:val="baseline"/>
              <w:rPr>
                <w:rFonts w:eastAsia="楷体"/>
                <w:color w:val="00A5E7"/>
                <w:spacing w:val="-2"/>
                <w:sz w:val="20"/>
              </w:rPr>
            </w:pPr>
            <w:r>
              <w:rPr>
                <w:rFonts w:eastAsia="楷体"/>
                <w:color w:val="00A5E7"/>
                <w:spacing w:val="-2"/>
                <w:sz w:val="20"/>
              </w:rPr>
              <w:t>“</w:t>
            </w:r>
            <w:r>
              <w:rPr>
                <w:rFonts w:eastAsia="楷体"/>
                <w:b/>
                <w:bCs/>
                <w:color w:val="00A5E7"/>
                <w:spacing w:val="-2"/>
                <w:sz w:val="20"/>
              </w:rPr>
              <w:t>订单知识产权</w:t>
            </w:r>
            <w:r>
              <w:rPr>
                <w:rFonts w:eastAsia="楷体"/>
                <w:color w:val="00A5E7"/>
                <w:spacing w:val="-2"/>
                <w:sz w:val="20"/>
              </w:rPr>
              <w:t>”</w:t>
            </w:r>
          </w:p>
        </w:tc>
        <w:tc>
          <w:tcPr>
            <w:tcW w:w="6768" w:type="dxa"/>
            <w:shd w:val="clear" w:color="auto" w:fill="auto"/>
          </w:tcPr>
          <w:p w:rsidR="00681DDD">
            <w:pPr>
              <w:pStyle w:val="MarginText"/>
              <w:overflowPunct w:val="0"/>
              <w:autoSpaceDE w:val="0"/>
              <w:autoSpaceDN w:val="0"/>
              <w:spacing w:line="276" w:lineRule="auto"/>
              <w:textAlignment w:val="baseline"/>
              <w:rPr>
                <w:rFonts w:eastAsia="楷体"/>
                <w:spacing w:val="-2"/>
                <w:sz w:val="20"/>
              </w:rPr>
            </w:pPr>
            <w:r>
              <w:rPr>
                <w:rFonts w:eastAsia="楷体"/>
                <w:spacing w:val="-2"/>
                <w:sz w:val="20"/>
              </w:rPr>
              <w:t>是指因订单产生或与订单有关的所有知识产权（但始终不包括背景知识产权）。</w:t>
            </w:r>
          </w:p>
        </w:tc>
      </w:tr>
      <w:tr>
        <w:tblPrEx>
          <w:tblW w:w="9556" w:type="dxa"/>
          <w:tblInd w:w="828" w:type="dxa"/>
          <w:tblLook w:val="04A0"/>
        </w:tblPrEx>
        <w:tc>
          <w:tcPr>
            <w:tcW w:w="2788" w:type="dxa"/>
            <w:shd w:val="clear" w:color="auto" w:fill="auto"/>
          </w:tcPr>
          <w:p w:rsidR="00681DDD">
            <w:pPr>
              <w:pStyle w:val="MarginText"/>
              <w:overflowPunct w:val="0"/>
              <w:autoSpaceDE w:val="0"/>
              <w:autoSpaceDN w:val="0"/>
              <w:spacing w:line="276" w:lineRule="auto"/>
              <w:ind w:left="-108"/>
              <w:jc w:val="left"/>
              <w:textAlignment w:val="baseline"/>
              <w:rPr>
                <w:rFonts w:eastAsia="楷体"/>
                <w:b/>
                <w:color w:val="00A5E7"/>
                <w:spacing w:val="-2"/>
                <w:sz w:val="20"/>
              </w:rPr>
            </w:pPr>
            <w:r>
              <w:rPr>
                <w:rFonts w:eastAsia="楷体"/>
                <w:color w:val="00A5E7"/>
                <w:spacing w:val="-2"/>
                <w:sz w:val="20"/>
              </w:rPr>
              <w:t>“</w:t>
            </w:r>
            <w:r>
              <w:rPr>
                <w:rFonts w:eastAsia="楷体"/>
                <w:b/>
                <w:bCs/>
                <w:color w:val="00A5E7"/>
                <w:spacing w:val="-2"/>
                <w:sz w:val="20"/>
              </w:rPr>
              <w:t>付款条款</w:t>
            </w:r>
            <w:r>
              <w:rPr>
                <w:rFonts w:eastAsia="楷体"/>
                <w:color w:val="00A5E7"/>
                <w:spacing w:val="-2"/>
                <w:sz w:val="20"/>
              </w:rPr>
              <w:t>”</w:t>
            </w:r>
          </w:p>
        </w:tc>
        <w:tc>
          <w:tcPr>
            <w:tcW w:w="6768" w:type="dxa"/>
            <w:shd w:val="clear" w:color="auto" w:fill="auto"/>
          </w:tcPr>
          <w:p w:rsidR="00681DDD">
            <w:pPr>
              <w:pStyle w:val="MarginText"/>
              <w:overflowPunct w:val="0"/>
              <w:autoSpaceDE w:val="0"/>
              <w:autoSpaceDN w:val="0"/>
              <w:spacing w:line="276" w:lineRule="auto"/>
              <w:textAlignment w:val="baseline"/>
              <w:rPr>
                <w:rFonts w:eastAsia="楷体"/>
                <w:spacing w:val="-2"/>
                <w:sz w:val="20"/>
              </w:rPr>
            </w:pPr>
            <w:r>
              <w:rPr>
                <w:rFonts w:eastAsia="楷体"/>
                <w:spacing w:val="-2"/>
                <w:sz w:val="20"/>
              </w:rPr>
              <w:t>是指</w:t>
            </w:r>
            <w:r>
              <w:rPr>
                <w:rFonts w:eastAsia="楷体"/>
                <w:sz w:val="20"/>
              </w:rPr>
              <w:t>订购表格</w:t>
            </w:r>
            <w:r>
              <w:rPr>
                <w:rFonts w:eastAsia="楷体"/>
                <w:spacing w:val="-2"/>
                <w:sz w:val="20"/>
              </w:rPr>
              <w:t>载明的任何关于付款的条款，买方应据此支付商品和</w:t>
            </w:r>
            <w:r>
              <w:rPr>
                <w:rFonts w:eastAsia="楷体"/>
                <w:spacing w:val="-2"/>
                <w:sz w:val="20"/>
              </w:rPr>
              <w:t>/</w:t>
            </w:r>
            <w:r>
              <w:rPr>
                <w:rFonts w:eastAsia="楷体"/>
                <w:spacing w:val="-2"/>
                <w:sz w:val="20"/>
              </w:rPr>
              <w:t>或服务（根据上下文决定）费用。</w:t>
            </w:r>
          </w:p>
        </w:tc>
      </w:tr>
      <w:tr>
        <w:tblPrEx>
          <w:tblW w:w="9556" w:type="dxa"/>
          <w:tblInd w:w="828" w:type="dxa"/>
          <w:tblLook w:val="04A0"/>
        </w:tblPrEx>
        <w:tc>
          <w:tcPr>
            <w:tcW w:w="2788" w:type="dxa"/>
            <w:shd w:val="clear" w:color="auto" w:fill="auto"/>
          </w:tcPr>
          <w:p w:rsidR="00681DDD">
            <w:pPr>
              <w:pStyle w:val="MarginText"/>
              <w:overflowPunct w:val="0"/>
              <w:autoSpaceDE w:val="0"/>
              <w:autoSpaceDN w:val="0"/>
              <w:spacing w:line="276" w:lineRule="auto"/>
              <w:ind w:left="-108"/>
              <w:jc w:val="left"/>
              <w:textAlignment w:val="baseline"/>
              <w:rPr>
                <w:rFonts w:eastAsia="楷体"/>
                <w:color w:val="00A5E7"/>
                <w:sz w:val="20"/>
              </w:rPr>
            </w:pPr>
            <w:r>
              <w:rPr>
                <w:rFonts w:eastAsia="楷体"/>
                <w:color w:val="00A5E7"/>
                <w:spacing w:val="-2"/>
                <w:sz w:val="20"/>
              </w:rPr>
              <w:t>“</w:t>
            </w:r>
            <w:r>
              <w:rPr>
                <w:rFonts w:eastAsia="楷体"/>
                <w:b/>
                <w:bCs/>
                <w:color w:val="00A5E7"/>
                <w:spacing w:val="-2"/>
                <w:sz w:val="20"/>
              </w:rPr>
              <w:t>履行日</w:t>
            </w:r>
            <w:r>
              <w:rPr>
                <w:rFonts w:eastAsia="楷体"/>
                <w:color w:val="00A5E7"/>
                <w:spacing w:val="-2"/>
                <w:sz w:val="20"/>
              </w:rPr>
              <w:t>”</w:t>
            </w:r>
          </w:p>
        </w:tc>
        <w:tc>
          <w:tcPr>
            <w:tcW w:w="6768" w:type="dxa"/>
            <w:shd w:val="clear" w:color="auto" w:fill="auto"/>
          </w:tcPr>
          <w:p w:rsidR="00681DDD">
            <w:pPr>
              <w:pStyle w:val="MarginText"/>
              <w:overflowPunct w:val="0"/>
              <w:autoSpaceDE w:val="0"/>
              <w:autoSpaceDN w:val="0"/>
              <w:spacing w:line="276" w:lineRule="auto"/>
              <w:textAlignment w:val="baseline"/>
              <w:rPr>
                <w:rFonts w:eastAsia="楷体"/>
                <w:sz w:val="20"/>
              </w:rPr>
            </w:pPr>
            <w:r>
              <w:rPr>
                <w:rFonts w:eastAsia="楷体"/>
                <w:spacing w:val="-2"/>
                <w:sz w:val="20"/>
              </w:rPr>
              <w:t>是指订购表格中说明的任何日期。</w:t>
            </w:r>
          </w:p>
        </w:tc>
      </w:tr>
      <w:tr>
        <w:tblPrEx>
          <w:tblW w:w="9556" w:type="dxa"/>
          <w:tblInd w:w="828" w:type="dxa"/>
          <w:tblLook w:val="04A0"/>
        </w:tblPrEx>
        <w:tc>
          <w:tcPr>
            <w:tcW w:w="2788" w:type="dxa"/>
            <w:shd w:val="clear" w:color="auto" w:fill="auto"/>
          </w:tcPr>
          <w:p w:rsidR="00681DDD">
            <w:pPr>
              <w:pStyle w:val="MarginText"/>
              <w:overflowPunct w:val="0"/>
              <w:autoSpaceDE w:val="0"/>
              <w:autoSpaceDN w:val="0"/>
              <w:spacing w:line="276" w:lineRule="auto"/>
              <w:ind w:left="-108"/>
              <w:jc w:val="left"/>
              <w:textAlignment w:val="baseline"/>
              <w:rPr>
                <w:rFonts w:eastAsia="楷体"/>
                <w:color w:val="00A5E7"/>
                <w:sz w:val="20"/>
              </w:rPr>
            </w:pPr>
            <w:r>
              <w:rPr>
                <w:rFonts w:eastAsia="楷体"/>
                <w:color w:val="00A5E7"/>
                <w:sz w:val="20"/>
              </w:rPr>
              <w:t>“</w:t>
            </w:r>
            <w:r>
              <w:rPr>
                <w:rFonts w:eastAsia="楷体"/>
                <w:b/>
                <w:bCs/>
                <w:color w:val="00A5E7"/>
                <w:sz w:val="20"/>
              </w:rPr>
              <w:t>价格</w:t>
            </w:r>
            <w:r>
              <w:rPr>
                <w:rFonts w:eastAsia="楷体"/>
                <w:color w:val="00A5E7"/>
                <w:sz w:val="20"/>
              </w:rPr>
              <w:t>”</w:t>
            </w:r>
          </w:p>
        </w:tc>
        <w:tc>
          <w:tcPr>
            <w:tcW w:w="6768" w:type="dxa"/>
            <w:shd w:val="clear" w:color="auto" w:fill="auto"/>
          </w:tcPr>
          <w:p w:rsidR="00681DDD">
            <w:pPr>
              <w:pStyle w:val="MarginText"/>
              <w:overflowPunct w:val="0"/>
              <w:autoSpaceDE w:val="0"/>
              <w:autoSpaceDN w:val="0"/>
              <w:spacing w:line="276" w:lineRule="auto"/>
              <w:textAlignment w:val="baseline"/>
              <w:rPr>
                <w:rFonts w:eastAsia="楷体"/>
                <w:sz w:val="20"/>
              </w:rPr>
            </w:pPr>
            <w:r>
              <w:rPr>
                <w:rFonts w:eastAsia="楷体"/>
                <w:sz w:val="20"/>
              </w:rPr>
              <w:t>是指订购表格载明的商品和</w:t>
            </w:r>
            <w:r>
              <w:rPr>
                <w:rFonts w:eastAsia="楷体"/>
                <w:sz w:val="20"/>
              </w:rPr>
              <w:t>/</w:t>
            </w:r>
            <w:r>
              <w:rPr>
                <w:rFonts w:eastAsia="楷体"/>
                <w:sz w:val="20"/>
              </w:rPr>
              <w:t>或服务的价格。</w:t>
            </w:r>
          </w:p>
        </w:tc>
      </w:tr>
      <w:tr>
        <w:tblPrEx>
          <w:tblW w:w="9556" w:type="dxa"/>
          <w:tblInd w:w="828" w:type="dxa"/>
          <w:tblLook w:val="04A0"/>
        </w:tblPrEx>
        <w:tc>
          <w:tcPr>
            <w:tcW w:w="2788" w:type="dxa"/>
            <w:shd w:val="clear" w:color="auto" w:fill="auto"/>
          </w:tcPr>
          <w:p w:rsidR="00681DDD">
            <w:pPr>
              <w:pStyle w:val="MarginText"/>
              <w:overflowPunct w:val="0"/>
              <w:autoSpaceDE w:val="0"/>
              <w:autoSpaceDN w:val="0"/>
              <w:spacing w:line="276" w:lineRule="auto"/>
              <w:ind w:left="-108"/>
              <w:jc w:val="left"/>
              <w:textAlignment w:val="baseline"/>
              <w:rPr>
                <w:rFonts w:eastAsia="楷体"/>
                <w:color w:val="00B0F0"/>
                <w:sz w:val="20"/>
              </w:rPr>
            </w:pPr>
            <w:r>
              <w:rPr>
                <w:rFonts w:eastAsia="楷体"/>
                <w:color w:val="00B0F0"/>
                <w:sz w:val="20"/>
              </w:rPr>
              <w:t>“</w:t>
            </w:r>
            <w:r>
              <w:rPr>
                <w:rFonts w:eastAsia="楷体"/>
                <w:b/>
                <w:bCs/>
                <w:color w:val="00B0F0"/>
                <w:sz w:val="20"/>
              </w:rPr>
              <w:t>订购表格</w:t>
            </w:r>
            <w:r>
              <w:rPr>
                <w:rFonts w:eastAsia="楷体"/>
                <w:color w:val="00B0F0"/>
                <w:sz w:val="20"/>
              </w:rPr>
              <w:t>”</w:t>
            </w:r>
          </w:p>
        </w:tc>
        <w:tc>
          <w:tcPr>
            <w:tcW w:w="6768" w:type="dxa"/>
            <w:shd w:val="clear" w:color="auto" w:fill="auto"/>
          </w:tcPr>
          <w:p w:rsidR="00681DDD">
            <w:pPr>
              <w:pStyle w:val="MarginText"/>
              <w:overflowPunct w:val="0"/>
              <w:autoSpaceDE w:val="0"/>
              <w:autoSpaceDN w:val="0"/>
              <w:spacing w:line="276" w:lineRule="auto"/>
              <w:textAlignment w:val="baseline"/>
              <w:rPr>
                <w:rFonts w:eastAsia="楷体"/>
                <w:sz w:val="20"/>
              </w:rPr>
            </w:pPr>
            <w:r>
              <w:rPr>
                <w:rFonts w:eastAsia="楷体"/>
                <w:sz w:val="20"/>
              </w:rPr>
              <w:t>是指随附于条件的</w:t>
            </w:r>
            <w:r>
              <w:rPr>
                <w:rFonts w:eastAsia="楷体"/>
                <w:sz w:val="20"/>
              </w:rPr>
              <w:t>Vita</w:t>
            </w:r>
            <w:r>
              <w:rPr>
                <w:rFonts w:eastAsia="楷体"/>
                <w:sz w:val="20"/>
              </w:rPr>
              <w:t>订购表格，其中包括订单号、任何付款条款和履行日、特殊条款（若适用），说明双方详情。</w:t>
            </w:r>
          </w:p>
        </w:tc>
      </w:tr>
      <w:tr>
        <w:tblPrEx>
          <w:tblW w:w="9556" w:type="dxa"/>
          <w:tblInd w:w="828" w:type="dxa"/>
          <w:tblLook w:val="04A0"/>
        </w:tblPrEx>
        <w:tc>
          <w:tcPr>
            <w:tcW w:w="2788" w:type="dxa"/>
            <w:shd w:val="clear" w:color="auto" w:fill="auto"/>
          </w:tcPr>
          <w:p w:rsidR="00681DDD">
            <w:pPr>
              <w:pStyle w:val="MarginText"/>
              <w:overflowPunct w:val="0"/>
              <w:autoSpaceDE w:val="0"/>
              <w:autoSpaceDN w:val="0"/>
              <w:spacing w:line="276" w:lineRule="auto"/>
              <w:ind w:left="-108"/>
              <w:jc w:val="left"/>
              <w:textAlignment w:val="baseline"/>
              <w:rPr>
                <w:rFonts w:eastAsia="楷体"/>
                <w:b/>
                <w:color w:val="00B0F0"/>
                <w:sz w:val="20"/>
              </w:rPr>
            </w:pPr>
            <w:r>
              <w:rPr>
                <w:rFonts w:eastAsia="楷体"/>
                <w:color w:val="00B0F0"/>
                <w:sz w:val="20"/>
              </w:rPr>
              <w:t>“</w:t>
            </w:r>
            <w:r>
              <w:rPr>
                <w:rFonts w:eastAsia="楷体"/>
                <w:b/>
                <w:bCs/>
                <w:color w:val="00B0F0"/>
                <w:sz w:val="20"/>
              </w:rPr>
              <w:t>中国</w:t>
            </w:r>
            <w:r>
              <w:rPr>
                <w:rFonts w:eastAsia="楷体"/>
                <w:color w:val="00B0F0"/>
                <w:sz w:val="20"/>
              </w:rPr>
              <w:t>”</w:t>
            </w:r>
          </w:p>
        </w:tc>
        <w:tc>
          <w:tcPr>
            <w:tcW w:w="6768" w:type="dxa"/>
            <w:shd w:val="clear" w:color="auto" w:fill="auto"/>
          </w:tcPr>
          <w:p w:rsidR="00681DDD">
            <w:pPr>
              <w:pStyle w:val="MarginText"/>
              <w:overflowPunct w:val="0"/>
              <w:autoSpaceDE w:val="0"/>
              <w:autoSpaceDN w:val="0"/>
              <w:spacing w:line="276" w:lineRule="auto"/>
              <w:textAlignment w:val="baseline"/>
              <w:rPr>
                <w:rFonts w:eastAsia="楷体"/>
                <w:sz w:val="20"/>
              </w:rPr>
            </w:pPr>
            <w:r>
              <w:rPr>
                <w:rFonts w:eastAsia="楷体"/>
                <w:sz w:val="20"/>
              </w:rPr>
              <w:t>是指中华人民共和国。</w:t>
            </w:r>
          </w:p>
        </w:tc>
      </w:tr>
      <w:tr>
        <w:tblPrEx>
          <w:tblW w:w="9556" w:type="dxa"/>
          <w:tblInd w:w="828" w:type="dxa"/>
          <w:tblLook w:val="04A0"/>
        </w:tblPrEx>
        <w:tc>
          <w:tcPr>
            <w:tcW w:w="2788" w:type="dxa"/>
            <w:shd w:val="clear" w:color="auto" w:fill="auto"/>
          </w:tcPr>
          <w:p w:rsidR="00681DDD">
            <w:pPr>
              <w:pStyle w:val="MarginText"/>
              <w:overflowPunct w:val="0"/>
              <w:autoSpaceDE w:val="0"/>
              <w:autoSpaceDN w:val="0"/>
              <w:spacing w:line="276" w:lineRule="auto"/>
              <w:ind w:left="-108"/>
              <w:jc w:val="left"/>
              <w:textAlignment w:val="baseline"/>
              <w:rPr>
                <w:rFonts w:eastAsia="楷体"/>
                <w:color w:val="00A5E7"/>
                <w:sz w:val="20"/>
              </w:rPr>
            </w:pPr>
            <w:r>
              <w:rPr>
                <w:rFonts w:eastAsia="楷体"/>
                <w:color w:val="00A5E7"/>
                <w:spacing w:val="-2"/>
                <w:sz w:val="20"/>
              </w:rPr>
              <w:t>“</w:t>
            </w:r>
            <w:r>
              <w:rPr>
                <w:rFonts w:eastAsia="楷体"/>
                <w:b/>
                <w:bCs/>
                <w:color w:val="00A5E7"/>
                <w:spacing w:val="-2"/>
                <w:sz w:val="20"/>
              </w:rPr>
              <w:t>接收方</w:t>
            </w:r>
            <w:r>
              <w:rPr>
                <w:rFonts w:eastAsia="楷体"/>
                <w:color w:val="00A5E7"/>
                <w:spacing w:val="-2"/>
                <w:sz w:val="20"/>
              </w:rPr>
              <w:t>”</w:t>
            </w:r>
          </w:p>
        </w:tc>
        <w:tc>
          <w:tcPr>
            <w:tcW w:w="6768" w:type="dxa"/>
            <w:shd w:val="clear" w:color="auto" w:fill="auto"/>
          </w:tcPr>
          <w:p w:rsidR="00681DDD">
            <w:pPr>
              <w:pStyle w:val="MarginText"/>
              <w:overflowPunct w:val="0"/>
              <w:autoSpaceDE w:val="0"/>
              <w:autoSpaceDN w:val="0"/>
              <w:spacing w:line="276" w:lineRule="auto"/>
              <w:textAlignment w:val="baseline"/>
              <w:rPr>
                <w:rFonts w:eastAsia="楷体"/>
                <w:sz w:val="20"/>
              </w:rPr>
            </w:pPr>
            <w:r>
              <w:rPr>
                <w:rFonts w:eastAsia="楷体"/>
                <w:sz w:val="20"/>
              </w:rPr>
              <w:t>定义见第</w:t>
            </w:r>
            <w:r>
              <w:rPr>
                <w:rFonts w:eastAsia="楷体"/>
                <w:sz w:val="20"/>
              </w:rPr>
              <w:fldChar w:fldCharType="begin"/>
            </w:r>
            <w:r>
              <w:rPr>
                <w:rFonts w:eastAsia="楷体"/>
                <w:sz w:val="20"/>
              </w:rPr>
              <w:instrText xml:space="preserve"> REF _Ref519870231 \r \h  \* MERGEFORMAT </w:instrText>
            </w:r>
            <w:r>
              <w:rPr>
                <w:rFonts w:eastAsia="楷体"/>
                <w:sz w:val="20"/>
              </w:rPr>
              <w:fldChar w:fldCharType="separate"/>
            </w:r>
            <w:r>
              <w:rPr>
                <w:rFonts w:eastAsia="楷体"/>
                <w:sz w:val="20"/>
              </w:rPr>
              <w:t>23.2</w:t>
            </w:r>
            <w:r>
              <w:rPr>
                <w:rFonts w:eastAsia="楷体"/>
                <w:sz w:val="20"/>
              </w:rPr>
              <w:fldChar w:fldCharType="end"/>
            </w:r>
            <w:r>
              <w:rPr>
                <w:rFonts w:eastAsia="楷体"/>
                <w:sz w:val="20"/>
              </w:rPr>
              <w:t>项条件。</w:t>
            </w:r>
          </w:p>
        </w:tc>
      </w:tr>
      <w:tr>
        <w:tblPrEx>
          <w:tblW w:w="9556" w:type="dxa"/>
          <w:tblInd w:w="828" w:type="dxa"/>
          <w:tblLook w:val="04A0"/>
        </w:tblPrEx>
        <w:tc>
          <w:tcPr>
            <w:tcW w:w="2788" w:type="dxa"/>
            <w:shd w:val="clear" w:color="auto" w:fill="auto"/>
          </w:tcPr>
          <w:p w:rsidR="00681DDD">
            <w:pPr>
              <w:pStyle w:val="MarginText"/>
              <w:overflowPunct w:val="0"/>
              <w:autoSpaceDE w:val="0"/>
              <w:autoSpaceDN w:val="0"/>
              <w:spacing w:line="276" w:lineRule="auto"/>
              <w:ind w:left="-108"/>
              <w:jc w:val="left"/>
              <w:textAlignment w:val="baseline"/>
              <w:rPr>
                <w:rFonts w:eastAsia="楷体"/>
                <w:color w:val="00B0F0"/>
                <w:sz w:val="20"/>
              </w:rPr>
            </w:pPr>
            <w:r>
              <w:rPr>
                <w:rFonts w:eastAsia="楷体"/>
                <w:color w:val="00B0F0"/>
                <w:sz w:val="20"/>
              </w:rPr>
              <w:t>“</w:t>
            </w:r>
            <w:r>
              <w:rPr>
                <w:rFonts w:eastAsia="楷体"/>
                <w:b/>
                <w:bCs/>
                <w:color w:val="00B0F0"/>
                <w:sz w:val="20"/>
              </w:rPr>
              <w:t>相关控制人</w:t>
            </w:r>
            <w:r>
              <w:rPr>
                <w:rFonts w:eastAsia="楷体"/>
                <w:color w:val="00B0F0"/>
                <w:sz w:val="20"/>
              </w:rPr>
              <w:t>”</w:t>
            </w:r>
          </w:p>
        </w:tc>
        <w:tc>
          <w:tcPr>
            <w:tcW w:w="6768" w:type="dxa"/>
            <w:shd w:val="clear" w:color="auto" w:fill="auto"/>
          </w:tcPr>
          <w:p w:rsidR="00681DDD">
            <w:pPr>
              <w:pStyle w:val="MarginText"/>
              <w:overflowPunct w:val="0"/>
              <w:autoSpaceDE w:val="0"/>
              <w:autoSpaceDN w:val="0"/>
              <w:spacing w:line="276" w:lineRule="auto"/>
              <w:textAlignment w:val="baseline"/>
              <w:rPr>
                <w:rFonts w:eastAsia="楷体"/>
                <w:sz w:val="20"/>
              </w:rPr>
            </w:pPr>
            <w:r>
              <w:rPr>
                <w:rFonts w:eastAsia="楷体"/>
                <w:sz w:val="20"/>
              </w:rPr>
              <w:t>定义见第</w:t>
            </w:r>
            <w:r>
              <w:rPr>
                <w:rFonts w:eastAsia="楷体"/>
                <w:sz w:val="20"/>
              </w:rPr>
              <w:fldChar w:fldCharType="begin"/>
            </w:r>
            <w:r>
              <w:rPr>
                <w:rFonts w:eastAsia="楷体"/>
                <w:sz w:val="20"/>
              </w:rPr>
              <w:instrText xml:space="preserve"> REF _Ref15589561 \w \h  \* MERGEFORMAT </w:instrText>
            </w:r>
            <w:r>
              <w:rPr>
                <w:rFonts w:eastAsia="楷体"/>
                <w:sz w:val="20"/>
              </w:rPr>
              <w:fldChar w:fldCharType="separate"/>
            </w:r>
            <w:r>
              <w:rPr>
                <w:rFonts w:eastAsia="楷体"/>
                <w:sz w:val="20"/>
              </w:rPr>
              <w:t>23.7</w:t>
            </w:r>
            <w:r>
              <w:rPr>
                <w:rFonts w:eastAsia="楷体"/>
                <w:sz w:val="20"/>
              </w:rPr>
              <w:fldChar w:fldCharType="end"/>
            </w:r>
            <w:r>
              <w:rPr>
                <w:rFonts w:eastAsia="楷体"/>
                <w:sz w:val="20"/>
              </w:rPr>
              <w:t>项条件。</w:t>
            </w:r>
          </w:p>
        </w:tc>
      </w:tr>
      <w:tr>
        <w:tblPrEx>
          <w:tblW w:w="9556" w:type="dxa"/>
          <w:tblInd w:w="828" w:type="dxa"/>
          <w:tblLook w:val="04A0"/>
        </w:tblPrEx>
        <w:tc>
          <w:tcPr>
            <w:tcW w:w="2788" w:type="dxa"/>
            <w:shd w:val="clear" w:color="auto" w:fill="auto"/>
          </w:tcPr>
          <w:p w:rsidR="00681DDD">
            <w:pPr>
              <w:pStyle w:val="MarginText"/>
              <w:overflowPunct w:val="0"/>
              <w:autoSpaceDE w:val="0"/>
              <w:autoSpaceDN w:val="0"/>
              <w:spacing w:line="276" w:lineRule="auto"/>
              <w:ind w:left="-108"/>
              <w:jc w:val="left"/>
              <w:textAlignment w:val="baseline"/>
              <w:rPr>
                <w:rFonts w:eastAsia="楷体"/>
                <w:color w:val="00B0F0"/>
                <w:sz w:val="20"/>
              </w:rPr>
            </w:pPr>
            <w:r>
              <w:rPr>
                <w:rFonts w:eastAsia="楷体"/>
                <w:color w:val="00B0F0"/>
                <w:sz w:val="20"/>
              </w:rPr>
              <w:t>“</w:t>
            </w:r>
            <w:r>
              <w:rPr>
                <w:rFonts w:eastAsia="楷体"/>
                <w:b/>
                <w:bCs/>
                <w:color w:val="00B0F0"/>
                <w:sz w:val="20"/>
              </w:rPr>
              <w:t>相关处理人</w:t>
            </w:r>
            <w:r>
              <w:rPr>
                <w:rFonts w:eastAsia="楷体"/>
                <w:color w:val="00B0F0"/>
                <w:sz w:val="20"/>
              </w:rPr>
              <w:t>”</w:t>
            </w:r>
          </w:p>
        </w:tc>
        <w:tc>
          <w:tcPr>
            <w:tcW w:w="6768" w:type="dxa"/>
            <w:shd w:val="clear" w:color="auto" w:fill="auto"/>
          </w:tcPr>
          <w:p w:rsidR="00681DDD">
            <w:pPr>
              <w:pStyle w:val="MarginText"/>
              <w:overflowPunct w:val="0"/>
              <w:autoSpaceDE w:val="0"/>
              <w:autoSpaceDN w:val="0"/>
              <w:spacing w:line="276" w:lineRule="auto"/>
              <w:textAlignment w:val="baseline"/>
              <w:rPr>
                <w:rFonts w:eastAsia="楷体"/>
                <w:sz w:val="20"/>
              </w:rPr>
            </w:pPr>
            <w:r>
              <w:rPr>
                <w:rFonts w:eastAsia="楷体"/>
                <w:sz w:val="20"/>
              </w:rPr>
              <w:t>定义见第</w:t>
            </w:r>
            <w:r>
              <w:rPr>
                <w:rFonts w:eastAsia="楷体"/>
                <w:sz w:val="20"/>
              </w:rPr>
              <w:fldChar w:fldCharType="begin"/>
            </w:r>
            <w:r>
              <w:rPr>
                <w:rFonts w:eastAsia="楷体"/>
                <w:sz w:val="20"/>
              </w:rPr>
              <w:instrText xml:space="preserve"> REF _Ref15589561 \w \h  \* MERGEFORMAT </w:instrText>
            </w:r>
            <w:r>
              <w:rPr>
                <w:rFonts w:eastAsia="楷体"/>
                <w:sz w:val="20"/>
              </w:rPr>
              <w:fldChar w:fldCharType="separate"/>
            </w:r>
            <w:r>
              <w:rPr>
                <w:rFonts w:eastAsia="楷体"/>
                <w:sz w:val="20"/>
              </w:rPr>
              <w:t>23.7</w:t>
            </w:r>
            <w:r>
              <w:rPr>
                <w:rFonts w:eastAsia="楷体"/>
                <w:sz w:val="20"/>
              </w:rPr>
              <w:fldChar w:fldCharType="end"/>
            </w:r>
            <w:r>
              <w:rPr>
                <w:rFonts w:eastAsia="楷体"/>
                <w:sz w:val="20"/>
              </w:rPr>
              <w:t>项条件。</w:t>
            </w:r>
          </w:p>
        </w:tc>
      </w:tr>
      <w:tr>
        <w:tblPrEx>
          <w:tblW w:w="9556" w:type="dxa"/>
          <w:tblInd w:w="828" w:type="dxa"/>
          <w:tblLook w:val="04A0"/>
        </w:tblPrEx>
        <w:tc>
          <w:tcPr>
            <w:tcW w:w="2788" w:type="dxa"/>
            <w:shd w:val="clear" w:color="auto" w:fill="auto"/>
          </w:tcPr>
          <w:p w:rsidR="00681DDD">
            <w:pPr>
              <w:pStyle w:val="MarginText"/>
              <w:overflowPunct w:val="0"/>
              <w:autoSpaceDE w:val="0"/>
              <w:autoSpaceDN w:val="0"/>
              <w:spacing w:line="276" w:lineRule="auto"/>
              <w:ind w:left="-108"/>
              <w:jc w:val="left"/>
              <w:textAlignment w:val="baseline"/>
              <w:rPr>
                <w:rFonts w:eastAsia="楷体"/>
                <w:color w:val="00A5E7"/>
                <w:sz w:val="20"/>
              </w:rPr>
            </w:pPr>
            <w:r>
              <w:rPr>
                <w:rFonts w:eastAsia="楷体"/>
                <w:color w:val="00A5E7"/>
                <w:sz w:val="20"/>
              </w:rPr>
              <w:t>“</w:t>
            </w:r>
            <w:r>
              <w:rPr>
                <w:rFonts w:eastAsia="楷体"/>
                <w:b/>
                <w:bCs/>
                <w:color w:val="00A5E7"/>
                <w:sz w:val="20"/>
              </w:rPr>
              <w:t>特殊条款</w:t>
            </w:r>
            <w:r>
              <w:rPr>
                <w:rFonts w:eastAsia="楷体"/>
                <w:color w:val="00A5E7"/>
                <w:sz w:val="20"/>
              </w:rPr>
              <w:t>”</w:t>
            </w:r>
          </w:p>
        </w:tc>
        <w:tc>
          <w:tcPr>
            <w:tcW w:w="6768" w:type="dxa"/>
            <w:shd w:val="clear" w:color="auto" w:fill="auto"/>
          </w:tcPr>
          <w:p w:rsidR="00681DDD">
            <w:pPr>
              <w:pStyle w:val="MarginText"/>
              <w:overflowPunct w:val="0"/>
              <w:autoSpaceDE w:val="0"/>
              <w:autoSpaceDN w:val="0"/>
              <w:spacing w:line="276" w:lineRule="auto"/>
              <w:textAlignment w:val="baseline"/>
              <w:rPr>
                <w:rFonts w:eastAsia="楷体"/>
                <w:sz w:val="20"/>
              </w:rPr>
            </w:pPr>
            <w:r>
              <w:rPr>
                <w:rFonts w:eastAsia="楷体"/>
                <w:sz w:val="20"/>
              </w:rPr>
              <w:t>是指订购</w:t>
            </w:r>
            <w:r>
              <w:rPr>
                <w:rFonts w:eastAsia="楷体"/>
                <w:sz w:val="20"/>
              </w:rPr>
              <w:t>表格中载明的条款。</w:t>
            </w:r>
            <w:r>
              <w:rPr>
                <w:rFonts w:eastAsia="楷体"/>
                <w:sz w:val="20"/>
              </w:rPr>
              <w:t xml:space="preserve"> </w:t>
            </w:r>
          </w:p>
        </w:tc>
      </w:tr>
      <w:tr>
        <w:tblPrEx>
          <w:tblW w:w="9556" w:type="dxa"/>
          <w:tblInd w:w="828" w:type="dxa"/>
          <w:tblLook w:val="04A0"/>
        </w:tblPrEx>
        <w:tc>
          <w:tcPr>
            <w:tcW w:w="2788" w:type="dxa"/>
            <w:shd w:val="clear" w:color="auto" w:fill="auto"/>
          </w:tcPr>
          <w:p w:rsidR="00681DDD">
            <w:pPr>
              <w:pStyle w:val="MarginText"/>
              <w:overflowPunct w:val="0"/>
              <w:autoSpaceDE w:val="0"/>
              <w:autoSpaceDN w:val="0"/>
              <w:spacing w:line="276" w:lineRule="auto"/>
              <w:ind w:left="-108"/>
              <w:jc w:val="left"/>
              <w:textAlignment w:val="baseline"/>
              <w:rPr>
                <w:rFonts w:eastAsia="楷体"/>
                <w:color w:val="00A5E7"/>
                <w:sz w:val="20"/>
              </w:rPr>
            </w:pPr>
            <w:r>
              <w:rPr>
                <w:rFonts w:eastAsia="楷体"/>
                <w:color w:val="00A5E7"/>
                <w:sz w:val="20"/>
              </w:rPr>
              <w:t>“</w:t>
            </w:r>
            <w:r>
              <w:rPr>
                <w:rFonts w:eastAsia="楷体"/>
                <w:b/>
                <w:bCs/>
                <w:color w:val="00A5E7"/>
                <w:sz w:val="20"/>
              </w:rPr>
              <w:t>二级处理人</w:t>
            </w:r>
            <w:r>
              <w:rPr>
                <w:rFonts w:eastAsia="楷体"/>
                <w:color w:val="00A5E7"/>
                <w:sz w:val="20"/>
              </w:rPr>
              <w:t xml:space="preserve">” </w:t>
            </w:r>
          </w:p>
        </w:tc>
        <w:tc>
          <w:tcPr>
            <w:tcW w:w="6768" w:type="dxa"/>
            <w:shd w:val="clear" w:color="auto" w:fill="auto"/>
          </w:tcPr>
          <w:p w:rsidR="00681DDD">
            <w:pPr>
              <w:pStyle w:val="MarginText"/>
              <w:overflowPunct w:val="0"/>
              <w:autoSpaceDE w:val="0"/>
              <w:autoSpaceDN w:val="0"/>
              <w:spacing w:line="276" w:lineRule="auto"/>
              <w:textAlignment w:val="baseline"/>
              <w:rPr>
                <w:rFonts w:eastAsia="楷体"/>
                <w:sz w:val="20"/>
              </w:rPr>
            </w:pPr>
            <w:r>
              <w:rPr>
                <w:rFonts w:eastAsia="楷体"/>
                <w:sz w:val="20"/>
              </w:rPr>
              <w:t>定义见第</w:t>
            </w:r>
            <w:r>
              <w:rPr>
                <w:rFonts w:eastAsia="楷体"/>
                <w:sz w:val="20"/>
              </w:rPr>
              <w:fldChar w:fldCharType="begin"/>
            </w:r>
            <w:r>
              <w:rPr>
                <w:rFonts w:eastAsia="楷体"/>
                <w:sz w:val="20"/>
              </w:rPr>
              <w:instrText xml:space="preserve"> REF _Ref15589634 \w \h  \* MERGEFORMAT </w:instrText>
            </w:r>
            <w:r>
              <w:rPr>
                <w:rFonts w:eastAsia="楷体"/>
                <w:sz w:val="20"/>
              </w:rPr>
              <w:fldChar w:fldCharType="separate"/>
            </w:r>
            <w:r>
              <w:rPr>
                <w:rFonts w:eastAsia="楷体"/>
                <w:sz w:val="20"/>
              </w:rPr>
              <w:t>23.7.5.1</w:t>
            </w:r>
            <w:r>
              <w:rPr>
                <w:rFonts w:eastAsia="楷体"/>
                <w:sz w:val="20"/>
              </w:rPr>
              <w:fldChar w:fldCharType="end"/>
            </w:r>
            <w:r>
              <w:rPr>
                <w:rFonts w:eastAsia="楷体"/>
                <w:sz w:val="20"/>
              </w:rPr>
              <w:t>项条件或第</w:t>
            </w:r>
            <w:r>
              <w:rPr>
                <w:rFonts w:eastAsia="楷体"/>
                <w:sz w:val="20"/>
              </w:rPr>
              <w:fldChar w:fldCharType="begin"/>
            </w:r>
            <w:r>
              <w:rPr>
                <w:rFonts w:eastAsia="楷体"/>
                <w:sz w:val="20"/>
              </w:rPr>
              <w:instrText xml:space="preserve"> REF _Ref15589644 \w \h  \* MERGEFORMAT </w:instrText>
            </w:r>
            <w:r>
              <w:rPr>
                <w:rFonts w:eastAsia="楷体"/>
                <w:sz w:val="20"/>
              </w:rPr>
              <w:fldChar w:fldCharType="separate"/>
            </w:r>
            <w:r>
              <w:rPr>
                <w:rFonts w:eastAsia="楷体"/>
                <w:sz w:val="20"/>
              </w:rPr>
              <w:t>23.7.5.2</w:t>
            </w:r>
            <w:r>
              <w:rPr>
                <w:rFonts w:eastAsia="楷体"/>
                <w:sz w:val="20"/>
              </w:rPr>
              <w:fldChar w:fldCharType="end"/>
            </w:r>
            <w:r>
              <w:rPr>
                <w:rFonts w:eastAsia="楷体"/>
                <w:sz w:val="20"/>
              </w:rPr>
              <w:t>项条件（根据上下文决定）。</w:t>
            </w:r>
            <w:r>
              <w:rPr>
                <w:rFonts w:eastAsia="楷体"/>
                <w:sz w:val="20"/>
              </w:rPr>
              <w:t xml:space="preserve"> </w:t>
            </w:r>
          </w:p>
        </w:tc>
      </w:tr>
      <w:tr>
        <w:tblPrEx>
          <w:tblW w:w="9556" w:type="dxa"/>
          <w:tblInd w:w="828" w:type="dxa"/>
          <w:tblLook w:val="04A0"/>
        </w:tblPrEx>
        <w:tc>
          <w:tcPr>
            <w:tcW w:w="2788" w:type="dxa"/>
            <w:shd w:val="clear" w:color="auto" w:fill="auto"/>
          </w:tcPr>
          <w:p w:rsidR="00681DDD">
            <w:pPr>
              <w:pStyle w:val="MarginText"/>
              <w:overflowPunct w:val="0"/>
              <w:autoSpaceDE w:val="0"/>
              <w:autoSpaceDN w:val="0"/>
              <w:spacing w:line="276" w:lineRule="auto"/>
              <w:ind w:left="-108"/>
              <w:jc w:val="left"/>
              <w:textAlignment w:val="baseline"/>
              <w:rPr>
                <w:rFonts w:eastAsia="楷体"/>
                <w:color w:val="00A5E7"/>
                <w:sz w:val="20"/>
              </w:rPr>
            </w:pPr>
            <w:r>
              <w:rPr>
                <w:rFonts w:eastAsia="楷体"/>
                <w:color w:val="00A5E7"/>
                <w:sz w:val="20"/>
              </w:rPr>
              <w:t>“</w:t>
            </w:r>
            <w:r>
              <w:rPr>
                <w:rFonts w:eastAsia="楷体" w:hint="eastAsia"/>
                <w:b/>
                <w:bCs/>
                <w:color w:val="00A5E7"/>
                <w:sz w:val="20"/>
              </w:rPr>
              <w:t>容差</w:t>
            </w:r>
            <w:r>
              <w:rPr>
                <w:rFonts w:eastAsia="楷体"/>
                <w:color w:val="00A5E7"/>
                <w:sz w:val="20"/>
              </w:rPr>
              <w:t>”</w:t>
            </w:r>
          </w:p>
        </w:tc>
        <w:tc>
          <w:tcPr>
            <w:tcW w:w="6768" w:type="dxa"/>
            <w:shd w:val="clear" w:color="auto" w:fill="auto"/>
          </w:tcPr>
          <w:p w:rsidR="00681DDD">
            <w:pPr>
              <w:pStyle w:val="MarginText"/>
              <w:overflowPunct w:val="0"/>
              <w:autoSpaceDE w:val="0"/>
              <w:autoSpaceDN w:val="0"/>
              <w:spacing w:line="276" w:lineRule="auto"/>
              <w:textAlignment w:val="baseline"/>
              <w:rPr>
                <w:rFonts w:eastAsia="楷体"/>
                <w:sz w:val="20"/>
              </w:rPr>
            </w:pPr>
            <w:r>
              <w:rPr>
                <w:rFonts w:eastAsia="楷体"/>
                <w:sz w:val="20"/>
              </w:rPr>
              <w:t>定义见第</w:t>
            </w:r>
            <w:r>
              <w:rPr>
                <w:rFonts w:eastAsia="楷体"/>
                <w:sz w:val="20"/>
              </w:rPr>
              <w:fldChar w:fldCharType="begin"/>
            </w:r>
            <w:r>
              <w:rPr>
                <w:rFonts w:eastAsia="楷体"/>
                <w:sz w:val="20"/>
              </w:rPr>
              <w:instrText xml:space="preserve"> REF _Ref31582716 \r \h  \* MERGEFORMAT </w:instrText>
            </w:r>
            <w:r>
              <w:rPr>
                <w:rFonts w:eastAsia="楷体"/>
                <w:sz w:val="20"/>
              </w:rPr>
              <w:fldChar w:fldCharType="separate"/>
            </w:r>
            <w:r>
              <w:rPr>
                <w:rFonts w:eastAsia="楷体"/>
                <w:sz w:val="20"/>
              </w:rPr>
              <w:t>10.6.1</w:t>
            </w:r>
            <w:r>
              <w:rPr>
                <w:rFonts w:eastAsia="楷体"/>
                <w:sz w:val="20"/>
              </w:rPr>
              <w:fldChar w:fldCharType="end"/>
            </w:r>
            <w:r>
              <w:rPr>
                <w:rFonts w:eastAsia="楷体"/>
                <w:sz w:val="20"/>
              </w:rPr>
              <w:t>项条件。</w:t>
            </w:r>
          </w:p>
        </w:tc>
      </w:tr>
      <w:tr>
        <w:tblPrEx>
          <w:tblW w:w="9556" w:type="dxa"/>
          <w:tblInd w:w="828" w:type="dxa"/>
          <w:tblLook w:val="04A0"/>
        </w:tblPrEx>
        <w:tc>
          <w:tcPr>
            <w:tcW w:w="2788" w:type="dxa"/>
            <w:shd w:val="clear" w:color="auto" w:fill="auto"/>
          </w:tcPr>
          <w:p w:rsidR="00681DDD">
            <w:pPr>
              <w:pStyle w:val="MarginText"/>
              <w:overflowPunct w:val="0"/>
              <w:autoSpaceDE w:val="0"/>
              <w:autoSpaceDN w:val="0"/>
              <w:spacing w:line="276" w:lineRule="auto"/>
              <w:ind w:left="-108"/>
              <w:jc w:val="left"/>
              <w:textAlignment w:val="baseline"/>
              <w:rPr>
                <w:rFonts w:eastAsia="楷体"/>
                <w:b/>
                <w:color w:val="00B0F0"/>
                <w:sz w:val="20"/>
              </w:rPr>
            </w:pPr>
            <w:r>
              <w:rPr>
                <w:rFonts w:eastAsia="楷体"/>
                <w:color w:val="00B0F0"/>
                <w:sz w:val="20"/>
              </w:rPr>
              <w:t>“</w:t>
            </w:r>
            <w:r>
              <w:rPr>
                <w:rFonts w:eastAsia="楷体"/>
                <w:b/>
                <w:bCs/>
                <w:color w:val="00B0F0"/>
                <w:sz w:val="20"/>
              </w:rPr>
              <w:t>增值税</w:t>
            </w:r>
            <w:r>
              <w:rPr>
                <w:rFonts w:eastAsia="楷体"/>
                <w:color w:val="00B0F0"/>
                <w:sz w:val="20"/>
              </w:rPr>
              <w:t>”</w:t>
            </w:r>
          </w:p>
        </w:tc>
        <w:tc>
          <w:tcPr>
            <w:tcW w:w="6768" w:type="dxa"/>
            <w:shd w:val="clear" w:color="auto" w:fill="auto"/>
          </w:tcPr>
          <w:p w:rsidR="00681DDD">
            <w:pPr>
              <w:pStyle w:val="MarginText"/>
              <w:overflowPunct w:val="0"/>
              <w:autoSpaceDE w:val="0"/>
              <w:autoSpaceDN w:val="0"/>
              <w:spacing w:line="276" w:lineRule="auto"/>
              <w:textAlignment w:val="baseline"/>
              <w:rPr>
                <w:rFonts w:eastAsia="楷体"/>
                <w:sz w:val="20"/>
              </w:rPr>
            </w:pPr>
            <w:r>
              <w:rPr>
                <w:rFonts w:eastAsia="楷体"/>
                <w:sz w:val="20"/>
              </w:rPr>
              <w:t>是指任何欧盟成员国根据欧洲委员会关于增值税通用体系的指令</w:t>
            </w:r>
            <w:r>
              <w:rPr>
                <w:rFonts w:eastAsia="楷体"/>
                <w:sz w:val="20"/>
              </w:rPr>
              <w:t>(EC) 2006/112</w:t>
            </w:r>
            <w:r>
              <w:rPr>
                <w:rFonts w:eastAsia="楷体"/>
                <w:sz w:val="20"/>
              </w:rPr>
              <w:t>（以及执行该指令或其任何前身，或者补充该指令的国家立法）所征收的任何增值税，或者可能代替该等增值税或在该等增值税之外另行征收的任何类似税，或者任何非欧盟成员国内征收的任何增值税、销</w:t>
            </w:r>
            <w:r>
              <w:rPr>
                <w:rFonts w:eastAsia="楷体"/>
                <w:sz w:val="20"/>
              </w:rPr>
              <w:t>售</w:t>
            </w:r>
            <w:r>
              <w:rPr>
                <w:rFonts w:eastAsia="楷体"/>
                <w:sz w:val="20"/>
              </w:rPr>
              <w:t>税、流转税或类似税。</w:t>
            </w:r>
          </w:p>
        </w:tc>
      </w:tr>
      <w:tr>
        <w:tblPrEx>
          <w:tblW w:w="9556" w:type="dxa"/>
          <w:tblInd w:w="828" w:type="dxa"/>
          <w:tblLook w:val="04A0"/>
        </w:tblPrEx>
        <w:tc>
          <w:tcPr>
            <w:tcW w:w="2788" w:type="dxa"/>
            <w:shd w:val="clear" w:color="auto" w:fill="auto"/>
          </w:tcPr>
          <w:p w:rsidR="00681DDD">
            <w:pPr>
              <w:pStyle w:val="MarginText"/>
              <w:overflowPunct w:val="0"/>
              <w:autoSpaceDE w:val="0"/>
              <w:autoSpaceDN w:val="0"/>
              <w:spacing w:line="276" w:lineRule="auto"/>
              <w:ind w:left="-108"/>
              <w:jc w:val="left"/>
              <w:textAlignment w:val="baseline"/>
              <w:rPr>
                <w:rFonts w:eastAsia="楷体"/>
                <w:color w:val="00B0F0"/>
                <w:sz w:val="20"/>
              </w:rPr>
            </w:pPr>
            <w:r>
              <w:rPr>
                <w:rFonts w:eastAsia="楷体"/>
                <w:color w:val="00B0F0"/>
                <w:sz w:val="20"/>
              </w:rPr>
              <w:t>'</w:t>
            </w:r>
            <w:r>
              <w:rPr>
                <w:rFonts w:eastAsia="楷体"/>
                <w:b/>
                <w:color w:val="00B0F0"/>
                <w:sz w:val="20"/>
              </w:rPr>
              <w:t>Vita</w:t>
            </w:r>
            <w:r>
              <w:rPr>
                <w:rFonts w:eastAsia="楷体"/>
                <w:color w:val="00B0F0"/>
                <w:sz w:val="20"/>
              </w:rPr>
              <w:t>'</w:t>
            </w:r>
          </w:p>
        </w:tc>
        <w:tc>
          <w:tcPr>
            <w:tcW w:w="6768" w:type="dxa"/>
            <w:shd w:val="clear" w:color="auto" w:fill="auto"/>
          </w:tcPr>
          <w:p w:rsidR="00681DDD">
            <w:pPr>
              <w:pStyle w:val="MarginText"/>
              <w:overflowPunct w:val="0"/>
              <w:autoSpaceDE w:val="0"/>
              <w:autoSpaceDN w:val="0"/>
              <w:spacing w:line="276" w:lineRule="auto"/>
              <w:textAlignment w:val="baseline"/>
              <w:rPr>
                <w:rFonts w:eastAsia="楷体"/>
                <w:sz w:val="20"/>
              </w:rPr>
            </w:pPr>
            <w:r>
              <w:rPr>
                <w:rFonts w:eastAsia="楷体"/>
                <w:sz w:val="20"/>
              </w:rPr>
              <w:t>是指订购表格中指明的人士。</w:t>
            </w:r>
          </w:p>
        </w:tc>
      </w:tr>
    </w:tbl>
    <w:p w:rsidR="00681DDD">
      <w:pPr>
        <w:pStyle w:val="Heading2"/>
        <w:spacing w:line="276" w:lineRule="auto"/>
        <w:rPr>
          <w:rFonts w:eastAsia="楷体"/>
          <w:sz w:val="20"/>
        </w:rPr>
      </w:pPr>
      <w:r>
        <w:rPr>
          <w:rFonts w:eastAsia="楷体"/>
          <w:sz w:val="20"/>
        </w:rPr>
        <w:t>凡条件中提及特定立法或者特定立法的特定条文的，均解释为指该立法或条文在相关时间经过修订、重新发布或扩张后的版本，并且包括届时根据该立法或该条文制定的任何下位法。</w:t>
      </w:r>
    </w:p>
    <w:p w:rsidR="00681DDD">
      <w:pPr>
        <w:pStyle w:val="Heading2"/>
        <w:spacing w:line="276" w:lineRule="auto"/>
        <w:rPr>
          <w:rFonts w:eastAsia="楷体"/>
          <w:sz w:val="20"/>
        </w:rPr>
      </w:pPr>
      <w:r>
        <w:rPr>
          <w:rFonts w:eastAsia="楷体"/>
          <w:sz w:val="20"/>
        </w:rPr>
        <w:t>条件标题仅为便利而设，不影响条件的解释。</w:t>
      </w:r>
    </w:p>
    <w:p w:rsidR="00681DDD">
      <w:pPr>
        <w:pStyle w:val="Heading2"/>
        <w:spacing w:line="276" w:lineRule="auto"/>
        <w:rPr>
          <w:rFonts w:eastAsia="楷体"/>
          <w:sz w:val="20"/>
        </w:rPr>
      </w:pPr>
      <w:r>
        <w:rPr>
          <w:rFonts w:eastAsia="楷体"/>
          <w:sz w:val="20"/>
        </w:rPr>
        <w:t>凡提及任何人士的，包括法人和非法人单位。</w:t>
      </w:r>
    </w:p>
    <w:p w:rsidR="00681DDD">
      <w:pPr>
        <w:pStyle w:val="Heading2"/>
        <w:spacing w:line="276" w:lineRule="auto"/>
        <w:rPr>
          <w:rFonts w:eastAsia="楷体"/>
          <w:sz w:val="20"/>
        </w:rPr>
      </w:pPr>
      <w:r>
        <w:rPr>
          <w:rFonts w:eastAsia="楷体"/>
          <w:sz w:val="20"/>
        </w:rPr>
        <w:t>凡由</w:t>
      </w:r>
      <w:r>
        <w:rPr>
          <w:rFonts w:eastAsia="楷体"/>
          <w:b/>
          <w:color w:val="00A5E7"/>
          <w:sz w:val="20"/>
        </w:rPr>
        <w:t>“</w:t>
      </w:r>
      <w:r>
        <w:rPr>
          <w:rFonts w:eastAsia="楷体"/>
          <w:b/>
          <w:color w:val="00A5E7"/>
          <w:sz w:val="20"/>
        </w:rPr>
        <w:t>包括</w:t>
      </w:r>
      <w:r>
        <w:rPr>
          <w:rFonts w:eastAsia="楷体"/>
          <w:b/>
          <w:color w:val="00A5E7"/>
          <w:sz w:val="20"/>
        </w:rPr>
        <w:t>”“</w:t>
      </w:r>
      <w:r>
        <w:rPr>
          <w:rFonts w:eastAsia="楷体"/>
          <w:b/>
          <w:color w:val="00A5E7"/>
          <w:sz w:val="20"/>
        </w:rPr>
        <w:t>尤其是</w:t>
      </w:r>
      <w:r>
        <w:rPr>
          <w:rFonts w:eastAsia="楷体"/>
          <w:b/>
          <w:color w:val="00A5E7"/>
          <w:sz w:val="20"/>
        </w:rPr>
        <w:t>”</w:t>
      </w:r>
      <w:r>
        <w:rPr>
          <w:rFonts w:eastAsia="楷体"/>
          <w:sz w:val="20"/>
        </w:rPr>
        <w:t>或类似表述引出的表达，均理解为举例，举例内容并不限制此类表达的含义。</w:t>
      </w:r>
    </w:p>
    <w:p w:rsidR="00681DDD">
      <w:pPr>
        <w:pStyle w:val="Heading2"/>
        <w:spacing w:line="276" w:lineRule="auto"/>
        <w:rPr>
          <w:rFonts w:eastAsia="楷体"/>
          <w:sz w:val="20"/>
        </w:rPr>
      </w:pPr>
      <w:r>
        <w:rPr>
          <w:rFonts w:eastAsia="楷体"/>
          <w:sz w:val="20"/>
        </w:rPr>
        <w:t>除非上下文另有要求，</w:t>
      </w:r>
      <w:r>
        <w:rPr>
          <w:rFonts w:eastAsia="楷体"/>
          <w:sz w:val="20"/>
        </w:rPr>
        <w:t>Incoterms</w:t>
      </w:r>
      <w:r>
        <w:rPr>
          <w:rFonts w:eastAsia="楷体"/>
          <w:sz w:val="20"/>
        </w:rPr>
        <w:t>条款中界定或赋予特定含义的任何条款或表达，在条件中含义不变，但如果</w:t>
      </w:r>
      <w:r>
        <w:rPr>
          <w:rFonts w:eastAsia="楷体"/>
          <w:sz w:val="20"/>
        </w:rPr>
        <w:t>Incoterms</w:t>
      </w:r>
      <w:r>
        <w:rPr>
          <w:rFonts w:eastAsia="楷体"/>
          <w:sz w:val="20"/>
        </w:rPr>
        <w:t>条款与条件之间有任何冲突，以条件为准。</w:t>
      </w:r>
    </w:p>
    <w:p w:rsidR="00681DDD">
      <w:pPr>
        <w:pStyle w:val="Heading2"/>
        <w:spacing w:line="276" w:lineRule="auto"/>
        <w:rPr>
          <w:rFonts w:eastAsia="楷体"/>
          <w:sz w:val="20"/>
        </w:rPr>
      </w:pPr>
      <w:r>
        <w:rPr>
          <w:rFonts w:eastAsia="楷体"/>
          <w:sz w:val="20"/>
        </w:rPr>
        <w:t>凡提及</w:t>
      </w:r>
      <w:r>
        <w:rPr>
          <w:rFonts w:eastAsia="楷体"/>
          <w:b/>
          <w:color w:val="00A5E7"/>
          <w:sz w:val="20"/>
        </w:rPr>
        <w:t>“</w:t>
      </w:r>
      <w:r>
        <w:rPr>
          <w:rFonts w:eastAsia="楷体"/>
          <w:b/>
          <w:color w:val="00A5E7"/>
          <w:sz w:val="20"/>
        </w:rPr>
        <w:t>书面</w:t>
      </w:r>
      <w:r>
        <w:rPr>
          <w:rFonts w:eastAsia="楷体"/>
          <w:b/>
          <w:color w:val="00A5E7"/>
          <w:sz w:val="20"/>
        </w:rPr>
        <w:t>”</w:t>
      </w:r>
      <w:r>
        <w:rPr>
          <w:rFonts w:eastAsia="楷体"/>
          <w:sz w:val="20"/>
        </w:rPr>
        <w:t>和</w:t>
      </w:r>
      <w:r>
        <w:rPr>
          <w:rFonts w:eastAsia="楷体"/>
          <w:b/>
          <w:color w:val="00A5E7"/>
          <w:sz w:val="20"/>
        </w:rPr>
        <w:t>“</w:t>
      </w:r>
      <w:r>
        <w:rPr>
          <w:rFonts w:eastAsia="楷体"/>
          <w:b/>
          <w:color w:val="00A5E7"/>
          <w:sz w:val="20"/>
        </w:rPr>
        <w:t>书面形式</w:t>
      </w:r>
      <w:r>
        <w:rPr>
          <w:rFonts w:eastAsia="楷体"/>
          <w:b/>
          <w:color w:val="00A5E7"/>
          <w:sz w:val="20"/>
        </w:rPr>
        <w:t>”</w:t>
      </w:r>
      <w:r>
        <w:rPr>
          <w:rFonts w:eastAsia="楷体"/>
          <w:sz w:val="20"/>
        </w:rPr>
        <w:t>，包括电子邮件通信和类似持续通信方式。</w:t>
      </w:r>
    </w:p>
    <w:p w:rsidR="00681DDD">
      <w:pPr>
        <w:pStyle w:val="Heading2"/>
        <w:spacing w:line="276" w:lineRule="auto"/>
        <w:rPr>
          <w:rFonts w:eastAsia="楷体"/>
          <w:sz w:val="20"/>
        </w:rPr>
      </w:pPr>
      <w:r>
        <w:rPr>
          <w:rFonts w:eastAsia="楷体"/>
          <w:b/>
          <w:color w:val="00B0F0"/>
          <w:sz w:val="20"/>
        </w:rPr>
        <w:t>“</w:t>
      </w:r>
      <w:r>
        <w:rPr>
          <w:rFonts w:eastAsia="楷体"/>
          <w:b/>
          <w:color w:val="00B0F0"/>
          <w:sz w:val="20"/>
        </w:rPr>
        <w:t>数据控制人</w:t>
      </w:r>
      <w:r>
        <w:rPr>
          <w:rFonts w:eastAsia="楷体"/>
          <w:b/>
          <w:color w:val="00B0F0"/>
          <w:sz w:val="20"/>
        </w:rPr>
        <w:t>(Data Controller)”</w:t>
      </w:r>
      <w:r>
        <w:rPr>
          <w:rFonts w:eastAsia="楷体"/>
          <w:sz w:val="20"/>
        </w:rPr>
        <w:t>沿用数据保护立法中的定义。</w:t>
      </w:r>
    </w:p>
    <w:p w:rsidR="00681DDD">
      <w:pPr>
        <w:pStyle w:val="Heading1"/>
        <w:spacing w:line="276" w:lineRule="auto"/>
        <w:ind w:firstLine="0"/>
        <w:rPr>
          <w:rFonts w:eastAsia="楷体"/>
          <w:color w:val="00A5E7"/>
          <w:sz w:val="20"/>
          <w:u w:val="none"/>
        </w:rPr>
      </w:pPr>
      <w:r>
        <w:rPr>
          <w:rFonts w:eastAsia="楷体"/>
          <w:color w:val="00A5E7"/>
          <w:sz w:val="20"/>
          <w:u w:val="none"/>
        </w:rPr>
        <w:t>采购的基础</w:t>
      </w:r>
    </w:p>
    <w:p w:rsidR="00681DDD">
      <w:pPr>
        <w:pStyle w:val="Heading2"/>
        <w:spacing w:line="276" w:lineRule="auto"/>
        <w:rPr>
          <w:rFonts w:eastAsia="楷体"/>
          <w:sz w:val="20"/>
        </w:rPr>
      </w:pPr>
      <w:r>
        <w:rPr>
          <w:rFonts w:eastAsia="楷体"/>
          <w:sz w:val="20"/>
        </w:rPr>
        <w:t>Vita</w:t>
      </w:r>
      <w:r>
        <w:rPr>
          <w:rFonts w:eastAsia="楷体"/>
          <w:sz w:val="20"/>
        </w:rPr>
        <w:t>向买方提供的任何预估由要约邀请（有效期为邀请之日起三十</w:t>
      </w:r>
      <w:r>
        <w:rPr>
          <w:rFonts w:eastAsia="楷体"/>
          <w:sz w:val="20"/>
        </w:rPr>
        <w:t>(30)</w:t>
      </w:r>
      <w:r>
        <w:rPr>
          <w:rFonts w:eastAsia="楷体"/>
          <w:sz w:val="20"/>
        </w:rPr>
        <w:t>日）组成，前提是</w:t>
      </w:r>
      <w:r>
        <w:rPr>
          <w:rFonts w:eastAsia="楷体"/>
          <w:sz w:val="20"/>
        </w:rPr>
        <w:t>Vita</w:t>
      </w:r>
      <w:r>
        <w:rPr>
          <w:rFonts w:eastAsia="楷体"/>
          <w:sz w:val="20"/>
        </w:rPr>
        <w:t>未在接受邀请前撤回。</w:t>
      </w:r>
    </w:p>
    <w:p w:rsidR="00681DDD">
      <w:pPr>
        <w:pStyle w:val="Heading2"/>
        <w:spacing w:line="276" w:lineRule="auto"/>
        <w:rPr>
          <w:rFonts w:eastAsia="楷体"/>
          <w:sz w:val="20"/>
        </w:rPr>
      </w:pPr>
      <w:r>
        <w:rPr>
          <w:rFonts w:eastAsia="楷体"/>
          <w:sz w:val="20"/>
        </w:rPr>
        <w:t>订购表格构成买方为根据条件采购商品服务发出的要约。</w:t>
      </w:r>
    </w:p>
    <w:p w:rsidR="00681DDD">
      <w:pPr>
        <w:pStyle w:val="Heading2"/>
        <w:spacing w:line="276" w:lineRule="auto"/>
        <w:rPr>
          <w:rFonts w:eastAsia="楷体"/>
          <w:sz w:val="20"/>
        </w:rPr>
      </w:pPr>
      <w:r>
        <w:rPr>
          <w:rFonts w:eastAsia="楷体"/>
          <w:sz w:val="20"/>
        </w:rPr>
        <w:t>订购表格与条件适用于订单，但不包括符合以下特征的任何其他条款条件：</w:t>
      </w:r>
    </w:p>
    <w:p w:rsidR="00681DDD">
      <w:pPr>
        <w:pStyle w:val="Heading3"/>
        <w:tabs>
          <w:tab w:val="left" w:pos="2160"/>
        </w:tabs>
        <w:spacing w:line="276" w:lineRule="auto"/>
        <w:ind w:left="2160" w:hanging="720"/>
        <w:rPr>
          <w:rFonts w:eastAsia="楷体"/>
          <w:sz w:val="20"/>
        </w:rPr>
      </w:pPr>
      <w:r>
        <w:rPr>
          <w:rFonts w:eastAsia="楷体"/>
          <w:sz w:val="20"/>
        </w:rPr>
        <w:t>买方提议或试图采用或纳入的，即便该等条款条件在之后文件中提交，或者意图排除或取代与之不一致的任何条件；和</w:t>
      </w:r>
      <w:r>
        <w:rPr>
          <w:rFonts w:eastAsia="楷体"/>
          <w:sz w:val="20"/>
        </w:rPr>
        <w:t>/</w:t>
      </w:r>
      <w:r>
        <w:rPr>
          <w:rFonts w:eastAsia="楷体"/>
          <w:sz w:val="20"/>
        </w:rPr>
        <w:t>或</w:t>
      </w:r>
    </w:p>
    <w:p w:rsidR="00681DDD">
      <w:pPr>
        <w:pStyle w:val="Heading3"/>
        <w:tabs>
          <w:tab w:val="left" w:pos="2160"/>
        </w:tabs>
        <w:spacing w:line="276" w:lineRule="auto"/>
        <w:ind w:left="2160" w:hanging="720"/>
        <w:rPr>
          <w:rFonts w:eastAsia="楷体"/>
          <w:sz w:val="20"/>
        </w:rPr>
      </w:pPr>
      <w:r>
        <w:rPr>
          <w:rFonts w:eastAsia="楷体"/>
          <w:sz w:val="20"/>
        </w:rPr>
        <w:t>贸易、习惯、实务或交易过程中默认的。</w:t>
      </w:r>
    </w:p>
    <w:p w:rsidR="00681DDD">
      <w:pPr>
        <w:pStyle w:val="Heading2"/>
        <w:spacing w:line="276" w:lineRule="auto"/>
        <w:rPr>
          <w:rFonts w:eastAsia="楷体"/>
          <w:sz w:val="20"/>
        </w:rPr>
      </w:pPr>
      <w:r>
        <w:rPr>
          <w:rFonts w:eastAsia="楷体"/>
          <w:sz w:val="20"/>
        </w:rPr>
        <w:t>订购表格须经</w:t>
      </w:r>
      <w:r>
        <w:rPr>
          <w:rFonts w:eastAsia="楷体"/>
          <w:sz w:val="20"/>
        </w:rPr>
        <w:t>Vita</w:t>
      </w:r>
      <w:r>
        <w:rPr>
          <w:rFonts w:eastAsia="楷体"/>
          <w:sz w:val="20"/>
        </w:rPr>
        <w:t>（自主决定）接受，仅在</w:t>
      </w:r>
      <w:r>
        <w:rPr>
          <w:rFonts w:eastAsia="楷体"/>
          <w:sz w:val="20"/>
        </w:rPr>
        <w:t>Vita</w:t>
      </w:r>
      <w:r>
        <w:rPr>
          <w:rFonts w:eastAsia="楷体"/>
          <w:sz w:val="20"/>
        </w:rPr>
        <w:t>书面接受订购表格后，订单成立。</w:t>
      </w:r>
    </w:p>
    <w:p w:rsidR="00681DDD">
      <w:pPr>
        <w:pStyle w:val="Heading2"/>
        <w:rPr>
          <w:rFonts w:eastAsia="楷体"/>
          <w:sz w:val="20"/>
        </w:rPr>
      </w:pPr>
      <w:r>
        <w:rPr>
          <w:rFonts w:eastAsia="楷体"/>
          <w:sz w:val="20"/>
        </w:rPr>
        <w:t>订单接受的，仍须达到</w:t>
      </w:r>
      <w:r>
        <w:rPr>
          <w:rFonts w:eastAsia="楷体"/>
          <w:sz w:val="20"/>
        </w:rPr>
        <w:t>Vita</w:t>
      </w:r>
      <w:r>
        <w:rPr>
          <w:rFonts w:eastAsia="楷体"/>
          <w:sz w:val="20"/>
        </w:rPr>
        <w:t>届时特定商品的最低订购量。</w:t>
      </w:r>
    </w:p>
    <w:p w:rsidR="00681DDD">
      <w:pPr>
        <w:pStyle w:val="Heading2"/>
        <w:spacing w:line="276" w:lineRule="auto"/>
        <w:rPr>
          <w:rFonts w:eastAsia="楷体"/>
          <w:sz w:val="20"/>
        </w:rPr>
      </w:pPr>
      <w:r>
        <w:rPr>
          <w:rFonts w:eastAsia="楷体"/>
          <w:sz w:val="20"/>
        </w:rPr>
        <w:t>若条件与订购表格特殊条款之间有任何冲突、模糊或不一致之处，买方与</w:t>
      </w:r>
      <w:r>
        <w:rPr>
          <w:rFonts w:eastAsia="楷体"/>
          <w:sz w:val="20"/>
        </w:rPr>
        <w:t>Vita</w:t>
      </w:r>
      <w:r>
        <w:rPr>
          <w:rFonts w:eastAsia="楷体"/>
          <w:sz w:val="20"/>
        </w:rPr>
        <w:t>同意特殊条款适用于买方与</w:t>
      </w:r>
      <w:r>
        <w:rPr>
          <w:rFonts w:eastAsia="楷体"/>
          <w:sz w:val="20"/>
        </w:rPr>
        <w:t>Vita</w:t>
      </w:r>
      <w:r>
        <w:rPr>
          <w:rFonts w:eastAsia="楷体"/>
          <w:sz w:val="20"/>
        </w:rPr>
        <w:t>之间的订单。在所有其他情况下，均以条件为准。</w:t>
      </w:r>
    </w:p>
    <w:p w:rsidR="00681DDD">
      <w:pPr>
        <w:pStyle w:val="Heading2"/>
        <w:spacing w:line="276" w:lineRule="auto"/>
        <w:rPr>
          <w:rFonts w:eastAsia="楷体"/>
          <w:sz w:val="20"/>
        </w:rPr>
      </w:pPr>
      <w:r>
        <w:rPr>
          <w:rFonts w:eastAsia="楷体"/>
          <w:sz w:val="20"/>
        </w:rPr>
        <w:t>买方负责</w:t>
      </w:r>
      <w:r>
        <w:rPr>
          <w:rFonts w:eastAsia="楷体"/>
          <w:sz w:val="20"/>
        </w:rPr>
        <w:t>向</w:t>
      </w:r>
      <w:r>
        <w:rPr>
          <w:rFonts w:eastAsia="楷体"/>
          <w:sz w:val="20"/>
        </w:rPr>
        <w:t>Vita</w:t>
      </w:r>
      <w:r>
        <w:rPr>
          <w:rFonts w:eastAsia="楷体"/>
          <w:sz w:val="20"/>
        </w:rPr>
        <w:t>确保买方提交的任何订购表格（包括任何适用规格）条款准确，并在足够时间内向</w:t>
      </w:r>
      <w:r>
        <w:rPr>
          <w:rFonts w:eastAsia="楷体"/>
          <w:sz w:val="20"/>
        </w:rPr>
        <w:t>Vita</w:t>
      </w:r>
      <w:r>
        <w:rPr>
          <w:rFonts w:eastAsia="楷体"/>
          <w:sz w:val="20"/>
        </w:rPr>
        <w:t>提供任何有关商品的必要信息，使</w:t>
      </w:r>
      <w:r>
        <w:rPr>
          <w:rFonts w:eastAsia="楷体"/>
          <w:sz w:val="20"/>
        </w:rPr>
        <w:t>Vita</w:t>
      </w:r>
      <w:r>
        <w:rPr>
          <w:rFonts w:eastAsia="楷体"/>
          <w:sz w:val="20"/>
        </w:rPr>
        <w:t>能够根据订购表格条款履行订单。</w:t>
      </w:r>
    </w:p>
    <w:p w:rsidR="00681DDD">
      <w:pPr>
        <w:pStyle w:val="Heading2"/>
        <w:spacing w:line="276" w:lineRule="auto"/>
        <w:rPr>
          <w:rFonts w:eastAsia="楷体"/>
          <w:sz w:val="20"/>
        </w:rPr>
      </w:pPr>
      <w:r>
        <w:rPr>
          <w:rFonts w:eastAsia="楷体"/>
          <w:sz w:val="20"/>
        </w:rPr>
        <w:t>Vita</w:t>
      </w:r>
      <w:r>
        <w:rPr>
          <w:rFonts w:eastAsia="楷体"/>
          <w:sz w:val="20"/>
        </w:rPr>
        <w:t>可就产品选择提出建议，但由买方自行决定最终产品选择，必要时开展测试，认可产品是否符合意向用途。</w:t>
      </w:r>
      <w:r>
        <w:rPr>
          <w:rFonts w:eastAsia="楷体"/>
          <w:sz w:val="20"/>
        </w:rPr>
        <w:t>Vita</w:t>
      </w:r>
      <w:r>
        <w:rPr>
          <w:rFonts w:eastAsia="楷体"/>
          <w:sz w:val="20"/>
        </w:rPr>
        <w:t>或其雇员或代理人向买方或其雇员或代理人提供的关于商品仓储、应用或用途的任何意见或推荐，若未经</w:t>
      </w:r>
      <w:r>
        <w:rPr>
          <w:rFonts w:eastAsia="楷体"/>
          <w:sz w:val="20"/>
        </w:rPr>
        <w:t>Vita</w:t>
      </w:r>
      <w:r>
        <w:rPr>
          <w:rFonts w:eastAsia="楷体"/>
          <w:sz w:val="20"/>
        </w:rPr>
        <w:t>书面确认，则接受或者遵从意见或推荐完全由买方自行承担风险，</w:t>
      </w:r>
      <w:r>
        <w:rPr>
          <w:rFonts w:eastAsia="楷体"/>
          <w:sz w:val="20"/>
        </w:rPr>
        <w:t>Vita</w:t>
      </w:r>
      <w:r>
        <w:rPr>
          <w:rFonts w:eastAsia="楷体"/>
          <w:sz w:val="20"/>
        </w:rPr>
        <w:t>无需就此类未经书面确认的意见或推荐承担责任。</w:t>
      </w:r>
    </w:p>
    <w:p w:rsidR="00681DDD">
      <w:pPr>
        <w:pStyle w:val="Heading2"/>
        <w:spacing w:line="276" w:lineRule="auto"/>
        <w:rPr>
          <w:rFonts w:eastAsia="楷体"/>
          <w:sz w:val="20"/>
        </w:rPr>
      </w:pPr>
      <w:r>
        <w:rPr>
          <w:rFonts w:eastAsia="楷体"/>
          <w:sz w:val="20"/>
        </w:rPr>
        <w:t>Vita</w:t>
      </w:r>
      <w:r>
        <w:rPr>
          <w:rFonts w:eastAsia="楷体"/>
          <w:sz w:val="20"/>
        </w:rPr>
        <w:t>保留对商品规格开展任何</w:t>
      </w:r>
      <w:r>
        <w:rPr>
          <w:rFonts w:eastAsia="楷体"/>
          <w:sz w:val="20"/>
        </w:rPr>
        <w:t>调整使之符合适用法定或欧盟要求的权利，但调整不得严重影响商品的质量或性能。</w:t>
      </w:r>
    </w:p>
    <w:p w:rsidR="00681DDD">
      <w:pPr>
        <w:pStyle w:val="Heading2"/>
        <w:spacing w:line="276" w:lineRule="auto"/>
        <w:rPr>
          <w:rFonts w:eastAsia="楷体"/>
          <w:sz w:val="20"/>
        </w:rPr>
      </w:pPr>
      <w:r>
        <w:rPr>
          <w:rFonts w:eastAsia="楷体"/>
          <w:sz w:val="20"/>
        </w:rPr>
        <w:t>买方履行订单项下义务以及收取、使用商品均应遵守所有适用法律法规和其他法定要求。</w:t>
      </w:r>
    </w:p>
    <w:p w:rsidR="00681DDD">
      <w:pPr>
        <w:pStyle w:val="Heading2"/>
        <w:spacing w:line="276" w:lineRule="auto"/>
        <w:rPr>
          <w:rFonts w:eastAsia="楷体"/>
          <w:sz w:val="20"/>
        </w:rPr>
      </w:pPr>
      <w:r>
        <w:rPr>
          <w:rFonts w:eastAsia="楷体"/>
          <w:sz w:val="20"/>
        </w:rPr>
        <w:t>未经</w:t>
      </w:r>
      <w:r>
        <w:rPr>
          <w:rFonts w:eastAsia="楷体"/>
          <w:sz w:val="20"/>
        </w:rPr>
        <w:t>Vita</w:t>
      </w:r>
      <w:r>
        <w:rPr>
          <w:rFonts w:eastAsia="楷体"/>
          <w:sz w:val="20"/>
        </w:rPr>
        <w:t>和买方各自授权代表书面达成一致，订单任何变更均不具约束力。</w:t>
      </w:r>
    </w:p>
    <w:p w:rsidR="00681DDD">
      <w:pPr>
        <w:pStyle w:val="Heading1"/>
        <w:spacing w:line="276" w:lineRule="auto"/>
        <w:ind w:firstLine="0"/>
        <w:rPr>
          <w:rFonts w:eastAsia="楷体"/>
          <w:color w:val="00A5E7"/>
          <w:sz w:val="20"/>
          <w:u w:val="none"/>
        </w:rPr>
      </w:pPr>
      <w:r>
        <w:rPr>
          <w:rFonts w:eastAsia="楷体"/>
          <w:color w:val="00A5E7"/>
          <w:sz w:val="20"/>
          <w:u w:val="none"/>
        </w:rPr>
        <w:t>订单</w:t>
      </w:r>
    </w:p>
    <w:p w:rsidR="00681DDD">
      <w:pPr>
        <w:pStyle w:val="Heading2"/>
        <w:rPr>
          <w:rFonts w:eastAsia="楷体"/>
          <w:sz w:val="20"/>
        </w:rPr>
      </w:pPr>
      <w:r>
        <w:rPr>
          <w:rFonts w:eastAsia="楷体"/>
          <w:sz w:val="20"/>
        </w:rPr>
        <w:t xml:space="preserve">Vita </w:t>
      </w:r>
      <w:r>
        <w:rPr>
          <w:rFonts w:eastAsia="楷体"/>
          <w:sz w:val="20"/>
        </w:rPr>
        <w:t>应根据订购表格载明的任何履行日期和／或时间提供商品。</w:t>
      </w:r>
    </w:p>
    <w:p w:rsidR="00681DDD">
      <w:pPr>
        <w:pStyle w:val="Heading2"/>
        <w:rPr>
          <w:rFonts w:eastAsia="楷体"/>
          <w:sz w:val="20"/>
        </w:rPr>
      </w:pPr>
      <w:r>
        <w:rPr>
          <w:rFonts w:eastAsia="楷体"/>
          <w:sz w:val="20"/>
        </w:rPr>
        <w:t>若订购表格未载明履行日期和／或时间，</w:t>
      </w:r>
      <w:r>
        <w:rPr>
          <w:rFonts w:eastAsia="楷体"/>
          <w:sz w:val="20"/>
        </w:rPr>
        <w:t>Vita</w:t>
      </w:r>
      <w:r>
        <w:rPr>
          <w:rFonts w:eastAsia="楷体"/>
          <w:sz w:val="20"/>
        </w:rPr>
        <w:t>应在正常业务过程中供应商品。</w:t>
      </w:r>
    </w:p>
    <w:p w:rsidR="00681DDD">
      <w:pPr>
        <w:pStyle w:val="Heading2"/>
        <w:rPr>
          <w:rFonts w:eastAsia="楷体"/>
          <w:sz w:val="20"/>
        </w:rPr>
      </w:pPr>
      <w:r>
        <w:rPr>
          <w:rFonts w:eastAsia="楷体"/>
          <w:sz w:val="20"/>
        </w:rPr>
        <w:t>除非根据订单条款提前撤销订单，在</w:t>
      </w:r>
      <w:r>
        <w:rPr>
          <w:rFonts w:eastAsia="楷体"/>
          <w:sz w:val="20"/>
        </w:rPr>
        <w:t>Vita</w:t>
      </w:r>
      <w:r>
        <w:rPr>
          <w:rFonts w:eastAsia="楷体"/>
          <w:sz w:val="20"/>
        </w:rPr>
        <w:t>交付订单项下商品之前，订单持续。</w:t>
      </w:r>
    </w:p>
    <w:p w:rsidR="00681DDD">
      <w:pPr>
        <w:pStyle w:val="Heading1"/>
        <w:keepNext/>
        <w:spacing w:line="276" w:lineRule="auto"/>
        <w:ind w:firstLine="0"/>
        <w:rPr>
          <w:rFonts w:eastAsia="楷体"/>
          <w:color w:val="00A5E7"/>
          <w:sz w:val="20"/>
          <w:u w:val="none"/>
        </w:rPr>
      </w:pPr>
      <w:r>
        <w:rPr>
          <w:rFonts w:eastAsia="楷体"/>
          <w:color w:val="00A5E7"/>
          <w:sz w:val="20"/>
          <w:u w:val="none"/>
        </w:rPr>
        <w:t>撤销与退货</w:t>
      </w:r>
    </w:p>
    <w:p w:rsidR="00681DDD">
      <w:pPr>
        <w:pStyle w:val="Heading2"/>
        <w:keepLines/>
        <w:spacing w:line="276" w:lineRule="auto"/>
        <w:rPr>
          <w:rFonts w:eastAsia="楷体"/>
          <w:sz w:val="20"/>
        </w:rPr>
      </w:pPr>
      <w:r>
        <w:rPr>
          <w:rFonts w:eastAsia="楷体"/>
          <w:sz w:val="20"/>
        </w:rPr>
        <w:t>除非征得</w:t>
      </w:r>
      <w:r>
        <w:rPr>
          <w:rFonts w:eastAsia="楷体"/>
          <w:sz w:val="20"/>
        </w:rPr>
        <w:t>Vita</w:t>
      </w:r>
      <w:r>
        <w:rPr>
          <w:rFonts w:eastAsia="楷体"/>
          <w:sz w:val="20"/>
        </w:rPr>
        <w:t>书面同意，并且适用买方补偿条款（即若买</w:t>
      </w:r>
      <w:r>
        <w:rPr>
          <w:rFonts w:eastAsia="楷体"/>
          <w:sz w:val="20"/>
        </w:rPr>
        <w:t>方撤销订单，则</w:t>
      </w:r>
      <w:r>
        <w:rPr>
          <w:rFonts w:eastAsia="楷体"/>
          <w:sz w:val="20"/>
        </w:rPr>
        <w:t>Vita</w:t>
      </w:r>
      <w:r>
        <w:rPr>
          <w:rFonts w:eastAsia="楷体"/>
          <w:sz w:val="20"/>
        </w:rPr>
        <w:t>因此产生的所有损失（包括利润损失）、成本（包括所使用的所有劳动力和材料成本）、损害赔偿、费用和支出，买方均应全额补偿</w:t>
      </w:r>
      <w:r>
        <w:rPr>
          <w:rFonts w:eastAsia="楷体"/>
          <w:sz w:val="20"/>
        </w:rPr>
        <w:t>Vita</w:t>
      </w:r>
      <w:r>
        <w:rPr>
          <w:rFonts w:eastAsia="楷体"/>
          <w:sz w:val="20"/>
        </w:rPr>
        <w:t>），买方不得撤销任何已获</w:t>
      </w:r>
      <w:r>
        <w:rPr>
          <w:rFonts w:eastAsia="楷体"/>
          <w:sz w:val="20"/>
        </w:rPr>
        <w:t>Vita</w:t>
      </w:r>
      <w:r>
        <w:rPr>
          <w:rFonts w:eastAsia="楷体"/>
          <w:sz w:val="20"/>
        </w:rPr>
        <w:t>接受的订单。</w:t>
      </w:r>
    </w:p>
    <w:p w:rsidR="00681DDD">
      <w:pPr>
        <w:pStyle w:val="Heading2"/>
        <w:spacing w:line="276" w:lineRule="auto"/>
        <w:rPr>
          <w:rFonts w:eastAsia="楷体"/>
          <w:sz w:val="20"/>
        </w:rPr>
      </w:pPr>
      <w:r>
        <w:rPr>
          <w:rFonts w:eastAsia="楷体"/>
          <w:sz w:val="20"/>
        </w:rPr>
        <w:t>在不损害</w:t>
      </w:r>
      <w:r>
        <w:rPr>
          <w:rFonts w:eastAsia="楷体"/>
          <w:sz w:val="20"/>
        </w:rPr>
        <w:t>Vita</w:t>
      </w:r>
      <w:r>
        <w:rPr>
          <w:rFonts w:eastAsia="楷体"/>
          <w:sz w:val="20"/>
        </w:rPr>
        <w:t>其他权利或救济的同时，未经</w:t>
      </w:r>
      <w:r>
        <w:rPr>
          <w:rFonts w:eastAsia="楷体"/>
          <w:sz w:val="20"/>
        </w:rPr>
        <w:t>Vita</w:t>
      </w:r>
      <w:r>
        <w:rPr>
          <w:rFonts w:eastAsia="楷体"/>
          <w:sz w:val="20"/>
        </w:rPr>
        <w:t>事先允许，根据订单提供的商品不予退货。未经</w:t>
      </w:r>
      <w:r>
        <w:rPr>
          <w:rFonts w:eastAsia="楷体"/>
          <w:sz w:val="20"/>
        </w:rPr>
        <w:t>Vita</w:t>
      </w:r>
      <w:r>
        <w:rPr>
          <w:rFonts w:eastAsia="楷体"/>
          <w:sz w:val="20"/>
        </w:rPr>
        <w:t>事先书面允许，</w:t>
      </w:r>
      <w:r>
        <w:rPr>
          <w:rFonts w:eastAsia="楷体"/>
          <w:sz w:val="20"/>
        </w:rPr>
        <w:t>Vita</w:t>
      </w:r>
      <w:r>
        <w:rPr>
          <w:rFonts w:eastAsia="楷体"/>
          <w:sz w:val="20"/>
        </w:rPr>
        <w:t>不接受商品退货，也不就商品退货承担责任。经正式授权退货的商品应发往</w:t>
      </w:r>
      <w:r>
        <w:rPr>
          <w:rFonts w:eastAsia="楷体"/>
          <w:sz w:val="20"/>
        </w:rPr>
        <w:t>Vita</w:t>
      </w:r>
      <w:r>
        <w:rPr>
          <w:rFonts w:eastAsia="楷体"/>
          <w:sz w:val="20"/>
        </w:rPr>
        <w:t>场所，费用由买方负担。</w:t>
      </w:r>
    </w:p>
    <w:p w:rsidR="00681DDD">
      <w:pPr>
        <w:pStyle w:val="Heading1"/>
        <w:keepNext/>
        <w:spacing w:line="276" w:lineRule="auto"/>
        <w:ind w:firstLine="0"/>
        <w:rPr>
          <w:rFonts w:eastAsia="楷体"/>
          <w:color w:val="00A5E7"/>
          <w:sz w:val="20"/>
          <w:u w:val="none"/>
        </w:rPr>
      </w:pPr>
      <w:r>
        <w:rPr>
          <w:rFonts w:eastAsia="楷体"/>
          <w:color w:val="00A5E7"/>
          <w:sz w:val="20"/>
          <w:u w:val="none"/>
        </w:rPr>
        <w:t>商品价格</w:t>
      </w:r>
    </w:p>
    <w:p w:rsidR="00681DDD">
      <w:pPr>
        <w:pStyle w:val="Heading2"/>
        <w:keepNext/>
        <w:spacing w:line="276" w:lineRule="auto"/>
        <w:rPr>
          <w:rFonts w:eastAsia="楷体"/>
          <w:sz w:val="20"/>
        </w:rPr>
      </w:pPr>
      <w:r>
        <w:rPr>
          <w:rFonts w:eastAsia="楷体"/>
          <w:sz w:val="20"/>
        </w:rPr>
        <w:t>商品价格按订购表格所示价格执行。订购表格未载明价格的，按</w:t>
      </w:r>
      <w:r>
        <w:rPr>
          <w:rFonts w:eastAsia="楷体"/>
          <w:sz w:val="20"/>
        </w:rPr>
        <w:t>Vita</w:t>
      </w:r>
      <w:r>
        <w:rPr>
          <w:rFonts w:eastAsia="楷体"/>
          <w:sz w:val="20"/>
        </w:rPr>
        <w:t>公布的交付日当天有效价目表所示价格执行。</w:t>
      </w:r>
    </w:p>
    <w:p w:rsidR="00681DDD">
      <w:pPr>
        <w:pStyle w:val="Heading2"/>
        <w:keepNext/>
        <w:spacing w:line="276" w:lineRule="auto"/>
        <w:rPr>
          <w:rFonts w:eastAsia="楷体"/>
          <w:sz w:val="20"/>
        </w:rPr>
      </w:pPr>
      <w:r>
        <w:rPr>
          <w:rFonts w:eastAsia="楷体"/>
          <w:sz w:val="20"/>
        </w:rPr>
        <w:t>Vita</w:t>
      </w:r>
      <w:r>
        <w:rPr>
          <w:rFonts w:eastAsia="楷体"/>
          <w:sz w:val="20"/>
        </w:rPr>
        <w:t>保留在结合考虑以下因素的同时，于交付前（自主决定）随时调整商品价格的权利：</w:t>
      </w:r>
    </w:p>
    <w:p w:rsidR="00681DDD">
      <w:pPr>
        <w:pStyle w:val="Heading3"/>
        <w:tabs>
          <w:tab w:val="left" w:pos="2160"/>
        </w:tabs>
        <w:spacing w:line="276" w:lineRule="auto"/>
        <w:ind w:left="2160" w:hanging="720"/>
        <w:rPr>
          <w:rFonts w:eastAsia="楷体"/>
          <w:sz w:val="20"/>
        </w:rPr>
      </w:pPr>
      <w:r>
        <w:rPr>
          <w:rFonts w:eastAsia="楷体"/>
          <w:sz w:val="20"/>
        </w:rPr>
        <w:t>材料、劳动力或服务成本有任何上涨；</w:t>
      </w:r>
    </w:p>
    <w:p w:rsidR="00681DDD">
      <w:pPr>
        <w:pStyle w:val="Heading3"/>
        <w:tabs>
          <w:tab w:val="left" w:pos="2160"/>
        </w:tabs>
        <w:spacing w:line="276" w:lineRule="auto"/>
        <w:ind w:left="2160" w:hanging="720"/>
        <w:rPr>
          <w:rFonts w:eastAsia="楷体"/>
          <w:sz w:val="20"/>
        </w:rPr>
      </w:pPr>
      <w:bookmarkStart w:id="0" w:name="_Ref519873849"/>
      <w:bookmarkStart w:id="1" w:name="_Ref520020499"/>
      <w:r>
        <w:rPr>
          <w:rFonts w:eastAsia="楷体"/>
          <w:sz w:val="20"/>
        </w:rPr>
        <w:t>影响材料的任何货币波动；或</w:t>
      </w:r>
    </w:p>
    <w:p w:rsidR="00681DDD">
      <w:pPr>
        <w:pStyle w:val="Heading3"/>
        <w:tabs>
          <w:tab w:val="left" w:pos="2160"/>
        </w:tabs>
        <w:spacing w:line="276" w:lineRule="auto"/>
        <w:ind w:left="2160" w:hanging="720"/>
        <w:rPr>
          <w:rFonts w:eastAsia="楷体"/>
          <w:sz w:val="20"/>
        </w:rPr>
      </w:pPr>
      <w:r>
        <w:rPr>
          <w:rFonts w:eastAsia="楷体"/>
          <w:sz w:val="20"/>
        </w:rPr>
        <w:t>Vita</w:t>
      </w:r>
      <w:r>
        <w:rPr>
          <w:rFonts w:eastAsia="楷体"/>
          <w:sz w:val="20"/>
        </w:rPr>
        <w:t>可能无法合理控制的任何价格相关因素。</w:t>
      </w:r>
    </w:p>
    <w:p w:rsidR="00681DDD">
      <w:pPr>
        <w:pStyle w:val="Heading2"/>
        <w:spacing w:line="276" w:lineRule="auto"/>
        <w:rPr>
          <w:rFonts w:eastAsia="楷体"/>
          <w:sz w:val="20"/>
        </w:rPr>
      </w:pPr>
      <w:bookmarkEnd w:id="0"/>
      <w:bookmarkEnd w:id="1"/>
      <w:r>
        <w:rPr>
          <w:rFonts w:eastAsia="楷体"/>
          <w:sz w:val="20"/>
        </w:rPr>
        <w:t>除非另有说明，所有报价均为</w:t>
      </w:r>
      <w:r>
        <w:rPr>
          <w:rFonts w:eastAsia="楷体"/>
          <w:sz w:val="20"/>
        </w:rPr>
        <w:t>Vita</w:t>
      </w:r>
      <w:r>
        <w:rPr>
          <w:rFonts w:eastAsia="楷体"/>
          <w:sz w:val="20"/>
        </w:rPr>
        <w:t>场所所在交付地之净出厂价</w:t>
      </w:r>
      <w:r>
        <w:rPr>
          <w:rFonts w:eastAsia="楷体"/>
          <w:sz w:val="20"/>
        </w:rPr>
        <w:t>(ex</w:t>
      </w:r>
      <w:r>
        <w:rPr>
          <w:rFonts w:eastAsia="楷体"/>
          <w:sz w:val="20"/>
        </w:rPr>
        <w:noBreakHyphen/>
        <w:t>works)</w:t>
      </w:r>
      <w:r>
        <w:rPr>
          <w:rFonts w:eastAsia="楷体"/>
          <w:sz w:val="20"/>
        </w:rPr>
        <w:t>，如果在中国境内外其他地点交付的，则与包装、装卸、运输和保险有关的所有成本或费用均由买方承担，不包含在所支付的商品购买价格之内。为避免</w:t>
      </w:r>
      <w:r>
        <w:rPr>
          <w:rFonts w:eastAsia="楷体"/>
          <w:sz w:val="20"/>
        </w:rPr>
        <w:t>疑问，根据条件应向</w:t>
      </w:r>
      <w:r>
        <w:rPr>
          <w:rFonts w:eastAsia="楷体"/>
          <w:sz w:val="20"/>
        </w:rPr>
        <w:t>Vita</w:t>
      </w:r>
      <w:r>
        <w:rPr>
          <w:rFonts w:eastAsia="楷体"/>
          <w:sz w:val="20"/>
        </w:rPr>
        <w:t>支付的所有款项均不包含买方根据实施应税供货当时有效的相关法规所应当缴纳的适用增值税。</w:t>
      </w:r>
    </w:p>
    <w:p w:rsidR="00681DDD">
      <w:pPr>
        <w:pStyle w:val="Heading2"/>
        <w:spacing w:line="276" w:lineRule="auto"/>
        <w:rPr>
          <w:rFonts w:eastAsia="楷体"/>
          <w:sz w:val="20"/>
        </w:rPr>
      </w:pPr>
      <w:r>
        <w:rPr>
          <w:rFonts w:eastAsia="楷体"/>
          <w:sz w:val="20"/>
        </w:rPr>
        <w:t>货盘和可返还货柜的成本由买方支付，不包含在商品价格内，但如果在到期付款日前返还给</w:t>
      </w:r>
      <w:r>
        <w:rPr>
          <w:rFonts w:eastAsia="楷体"/>
          <w:sz w:val="20"/>
        </w:rPr>
        <w:t>Vita</w:t>
      </w:r>
      <w:r>
        <w:rPr>
          <w:rFonts w:eastAsia="楷体"/>
          <w:sz w:val="20"/>
        </w:rPr>
        <w:t>，且没有损坏的，则买方无需就此先行支付任何费用。</w:t>
      </w:r>
    </w:p>
    <w:p w:rsidR="00681DDD">
      <w:pPr>
        <w:pStyle w:val="Heading1"/>
        <w:keepNext/>
        <w:spacing w:line="276" w:lineRule="auto"/>
        <w:ind w:firstLine="0"/>
        <w:rPr>
          <w:rFonts w:eastAsia="楷体"/>
          <w:color w:val="00A5E7"/>
          <w:sz w:val="20"/>
          <w:u w:val="none"/>
        </w:rPr>
      </w:pPr>
      <w:r>
        <w:rPr>
          <w:rFonts w:eastAsia="楷体"/>
          <w:color w:val="00A5E7"/>
          <w:sz w:val="20"/>
          <w:u w:val="none"/>
        </w:rPr>
        <w:t>额外成本</w:t>
      </w:r>
    </w:p>
    <w:p w:rsidR="00681DDD">
      <w:pPr>
        <w:pStyle w:val="Heading2"/>
        <w:keepNext/>
        <w:spacing w:line="276" w:lineRule="auto"/>
        <w:rPr>
          <w:rFonts w:eastAsia="楷体"/>
          <w:sz w:val="20"/>
        </w:rPr>
      </w:pPr>
      <w:r>
        <w:rPr>
          <w:rFonts w:eastAsia="楷体"/>
          <w:sz w:val="20"/>
        </w:rPr>
        <w:t>买方同意支付</w:t>
      </w:r>
      <w:r>
        <w:rPr>
          <w:rFonts w:eastAsia="楷体"/>
          <w:sz w:val="20"/>
        </w:rPr>
        <w:t>Vita</w:t>
      </w:r>
      <w:r>
        <w:rPr>
          <w:rFonts w:eastAsia="楷体"/>
          <w:sz w:val="20"/>
        </w:rPr>
        <w:t>发生的任何以下损失或额外成本：</w:t>
      </w:r>
    </w:p>
    <w:p w:rsidR="00681DDD">
      <w:pPr>
        <w:pStyle w:val="Heading3"/>
        <w:tabs>
          <w:tab w:val="left" w:pos="2160"/>
        </w:tabs>
        <w:spacing w:line="276" w:lineRule="auto"/>
        <w:ind w:left="2160" w:hanging="720"/>
        <w:rPr>
          <w:rFonts w:eastAsia="楷体"/>
          <w:sz w:val="20"/>
        </w:rPr>
      </w:pPr>
      <w:r>
        <w:rPr>
          <w:rFonts w:eastAsia="楷体"/>
          <w:sz w:val="20"/>
        </w:rPr>
        <w:t>因买方指令或没有指令，或因未收货或收货延迟产生的；</w:t>
      </w:r>
    </w:p>
    <w:p w:rsidR="00681DDD">
      <w:pPr>
        <w:pStyle w:val="Heading3"/>
        <w:keepNext/>
        <w:tabs>
          <w:tab w:val="left" w:pos="2160"/>
        </w:tabs>
        <w:spacing w:line="276" w:lineRule="auto"/>
        <w:ind w:left="2160" w:hanging="720"/>
        <w:rPr>
          <w:rFonts w:eastAsia="楷体"/>
          <w:sz w:val="20"/>
        </w:rPr>
      </w:pPr>
      <w:r>
        <w:rPr>
          <w:rFonts w:eastAsia="楷体"/>
          <w:sz w:val="20"/>
        </w:rPr>
        <w:t>因商品交付日期、数量或规格应买方要求有任何调整而产生的；或</w:t>
      </w:r>
    </w:p>
    <w:p w:rsidR="00681DDD">
      <w:pPr>
        <w:pStyle w:val="Heading3"/>
        <w:tabs>
          <w:tab w:val="left" w:pos="2160"/>
        </w:tabs>
        <w:spacing w:line="276" w:lineRule="auto"/>
        <w:ind w:left="2160" w:hanging="720"/>
        <w:rPr>
          <w:rFonts w:eastAsia="楷体"/>
          <w:sz w:val="20"/>
        </w:rPr>
      </w:pPr>
      <w:r>
        <w:rPr>
          <w:rFonts w:eastAsia="楷体"/>
          <w:sz w:val="20"/>
        </w:rPr>
        <w:t>因买方及其服务人员、代理人或雇员的任何行为或过错产生的。</w:t>
      </w:r>
    </w:p>
    <w:p w:rsidR="00681DDD">
      <w:pPr>
        <w:pStyle w:val="Heading1"/>
        <w:keepNext/>
        <w:spacing w:line="276" w:lineRule="auto"/>
        <w:ind w:firstLine="0"/>
        <w:rPr>
          <w:rFonts w:eastAsia="楷体"/>
          <w:color w:val="00A5E7"/>
          <w:sz w:val="20"/>
          <w:u w:val="none"/>
        </w:rPr>
      </w:pPr>
      <w:r>
        <w:rPr>
          <w:rFonts w:eastAsia="楷体"/>
          <w:color w:val="00A5E7"/>
          <w:sz w:val="20"/>
          <w:u w:val="none"/>
        </w:rPr>
        <w:t>付款条款</w:t>
      </w:r>
    </w:p>
    <w:p w:rsidR="00681DDD">
      <w:pPr>
        <w:pStyle w:val="Heading2"/>
        <w:spacing w:line="276" w:lineRule="auto"/>
        <w:rPr>
          <w:rFonts w:eastAsia="楷体"/>
          <w:sz w:val="20"/>
        </w:rPr>
      </w:pPr>
      <w:r>
        <w:rPr>
          <w:rFonts w:eastAsia="楷体"/>
          <w:sz w:val="20"/>
        </w:rPr>
        <w:t>Vita</w:t>
      </w:r>
      <w:r>
        <w:rPr>
          <w:rFonts w:eastAsia="楷体"/>
          <w:sz w:val="20"/>
        </w:rPr>
        <w:t>应根据开账条</w:t>
      </w:r>
      <w:r>
        <w:rPr>
          <w:rFonts w:eastAsia="楷体"/>
          <w:sz w:val="20"/>
        </w:rPr>
        <w:t>款向买方开具账单，如果未说明开账条款，则</w:t>
      </w:r>
      <w:r>
        <w:rPr>
          <w:rFonts w:eastAsia="楷体"/>
          <w:sz w:val="20"/>
        </w:rPr>
        <w:t>Vita</w:t>
      </w:r>
      <w:r>
        <w:rPr>
          <w:rFonts w:eastAsia="楷体"/>
          <w:sz w:val="20"/>
        </w:rPr>
        <w:t>有权随时向买方开具账单。</w:t>
      </w:r>
    </w:p>
    <w:p w:rsidR="00681DDD">
      <w:pPr>
        <w:pStyle w:val="Heading2"/>
        <w:spacing w:line="276" w:lineRule="auto"/>
        <w:rPr>
          <w:rFonts w:eastAsia="楷体"/>
          <w:sz w:val="20"/>
        </w:rPr>
      </w:pPr>
      <w:r>
        <w:rPr>
          <w:rFonts w:eastAsia="楷体"/>
          <w:sz w:val="20"/>
        </w:rPr>
        <w:t>Vita</w:t>
      </w:r>
      <w:r>
        <w:rPr>
          <w:rFonts w:eastAsia="楷体"/>
          <w:sz w:val="20"/>
        </w:rPr>
        <w:t>保留要求买方就其订单支付预付款的权利。</w:t>
      </w:r>
    </w:p>
    <w:p w:rsidR="00681DDD">
      <w:pPr>
        <w:pStyle w:val="Heading2"/>
        <w:spacing w:line="276" w:lineRule="auto"/>
        <w:rPr>
          <w:rFonts w:eastAsia="楷体"/>
          <w:sz w:val="20"/>
        </w:rPr>
      </w:pPr>
      <w:bookmarkStart w:id="2" w:name="_Ref31582652"/>
      <w:r>
        <w:rPr>
          <w:rFonts w:eastAsia="楷体"/>
          <w:sz w:val="20"/>
        </w:rPr>
        <w:t>买方应根据付款条款支付商品价格，如果未说明开账条款，则在商品交付下一月</w:t>
      </w:r>
      <w:r>
        <w:rPr>
          <w:rFonts w:eastAsia="楷体"/>
          <w:sz w:val="20"/>
        </w:rPr>
        <w:t>20</w:t>
      </w:r>
      <w:r>
        <w:rPr>
          <w:rFonts w:eastAsia="楷体"/>
          <w:sz w:val="20"/>
        </w:rPr>
        <w:t>日根据条款支付商品价格。</w:t>
      </w:r>
      <w:bookmarkEnd w:id="2"/>
    </w:p>
    <w:p w:rsidR="00681DDD">
      <w:pPr>
        <w:pStyle w:val="Heading2"/>
        <w:spacing w:line="276" w:lineRule="auto"/>
        <w:rPr>
          <w:rFonts w:eastAsia="楷体"/>
          <w:sz w:val="20"/>
        </w:rPr>
      </w:pPr>
      <w:r>
        <w:rPr>
          <w:rFonts w:eastAsia="楷体"/>
          <w:sz w:val="20"/>
        </w:rPr>
        <w:t>买方向</w:t>
      </w:r>
      <w:r>
        <w:rPr>
          <w:rFonts w:eastAsia="楷体"/>
          <w:sz w:val="20"/>
        </w:rPr>
        <w:t>Vita</w:t>
      </w:r>
      <w:r>
        <w:rPr>
          <w:rFonts w:eastAsia="楷体"/>
          <w:sz w:val="20"/>
        </w:rPr>
        <w:t>付款时，所有款项均应付至</w:t>
      </w:r>
      <w:r>
        <w:rPr>
          <w:rFonts w:eastAsia="楷体"/>
          <w:sz w:val="20"/>
        </w:rPr>
        <w:t>Vita</w:t>
      </w:r>
      <w:r>
        <w:rPr>
          <w:rFonts w:eastAsia="楷体"/>
          <w:sz w:val="20"/>
        </w:rPr>
        <w:t>不时向买方书面指定银行账户。</w:t>
      </w:r>
    </w:p>
    <w:p w:rsidR="00681DDD">
      <w:pPr>
        <w:pStyle w:val="Heading2"/>
        <w:spacing w:line="276" w:lineRule="auto"/>
        <w:rPr>
          <w:rFonts w:eastAsia="楷体"/>
          <w:sz w:val="20"/>
        </w:rPr>
      </w:pPr>
      <w:r>
        <w:rPr>
          <w:rFonts w:eastAsia="楷体"/>
          <w:sz w:val="20"/>
        </w:rPr>
        <w:t>付款时间为关键因素。</w:t>
      </w:r>
    </w:p>
    <w:p w:rsidR="00681DDD">
      <w:pPr>
        <w:pStyle w:val="Heading2"/>
        <w:spacing w:line="276" w:lineRule="auto"/>
        <w:rPr>
          <w:rFonts w:eastAsia="楷体"/>
          <w:sz w:val="20"/>
        </w:rPr>
      </w:pPr>
      <w:r>
        <w:rPr>
          <w:rFonts w:eastAsia="楷体"/>
          <w:sz w:val="20"/>
        </w:rPr>
        <w:t>在</w:t>
      </w:r>
      <w:r>
        <w:rPr>
          <w:rFonts w:eastAsia="楷体"/>
          <w:sz w:val="20"/>
        </w:rPr>
        <w:t>Vita</w:t>
      </w:r>
      <w:r>
        <w:rPr>
          <w:rFonts w:eastAsia="楷体"/>
          <w:sz w:val="20"/>
        </w:rPr>
        <w:t>收到清洁资金之前，任何款项均视为尚未收悉。</w:t>
      </w:r>
    </w:p>
    <w:p w:rsidR="00681DDD">
      <w:pPr>
        <w:pStyle w:val="Heading2"/>
        <w:spacing w:line="276" w:lineRule="auto"/>
        <w:rPr>
          <w:rFonts w:eastAsia="楷体"/>
          <w:sz w:val="20"/>
        </w:rPr>
      </w:pPr>
      <w:r>
        <w:rPr>
          <w:rFonts w:eastAsia="楷体"/>
          <w:sz w:val="20"/>
        </w:rPr>
        <w:t>若买方逾期未付款，</w:t>
      </w:r>
      <w:r>
        <w:rPr>
          <w:rFonts w:eastAsia="楷体"/>
          <w:sz w:val="20"/>
        </w:rPr>
        <w:t>Vita</w:t>
      </w:r>
      <w:r>
        <w:rPr>
          <w:rFonts w:eastAsia="楷体"/>
          <w:sz w:val="20"/>
        </w:rPr>
        <w:t>保留自到期付款日起就逾期未付款项按日收取利息，利息计至付款义务履行之日，利率为巴克莱银行</w:t>
      </w:r>
      <w:r>
        <w:rPr>
          <w:rFonts w:eastAsia="楷体"/>
          <w:sz w:val="20"/>
        </w:rPr>
        <w:t>(Barclays Ba</w:t>
      </w:r>
      <w:r>
        <w:rPr>
          <w:rFonts w:eastAsia="楷体"/>
          <w:sz w:val="20"/>
        </w:rPr>
        <w:t>nk plc)</w:t>
      </w:r>
      <w:r>
        <w:rPr>
          <w:rFonts w:eastAsia="楷体"/>
          <w:sz w:val="20"/>
        </w:rPr>
        <w:t>各时期基准贷款利率上浮百分之四</w:t>
      </w:r>
      <w:r>
        <w:rPr>
          <w:rFonts w:eastAsia="楷体"/>
          <w:sz w:val="20"/>
        </w:rPr>
        <w:t>(4%)</w:t>
      </w:r>
      <w:r>
        <w:rPr>
          <w:rFonts w:eastAsia="楷体"/>
          <w:sz w:val="20"/>
        </w:rPr>
        <w:t>。</w:t>
      </w:r>
    </w:p>
    <w:p w:rsidR="00681DDD">
      <w:pPr>
        <w:pStyle w:val="Heading2"/>
        <w:spacing w:line="276" w:lineRule="auto"/>
        <w:rPr>
          <w:rFonts w:eastAsia="楷体"/>
          <w:sz w:val="20"/>
        </w:rPr>
      </w:pPr>
      <w:r>
        <w:rPr>
          <w:rFonts w:eastAsia="楷体"/>
          <w:sz w:val="20"/>
        </w:rPr>
        <w:t>应根据第</w:t>
      </w:r>
      <w:r>
        <w:rPr>
          <w:rFonts w:eastAsia="楷体"/>
          <w:sz w:val="20"/>
        </w:rPr>
        <w:fldChar w:fldCharType="begin"/>
      </w:r>
      <w:r>
        <w:rPr>
          <w:rFonts w:eastAsia="楷体"/>
          <w:sz w:val="20"/>
        </w:rPr>
        <w:instrText xml:space="preserve"> REF _Ref31582652 \r \h  \* MERGEFORMAT </w:instrText>
      </w:r>
      <w:r>
        <w:rPr>
          <w:rFonts w:eastAsia="楷体"/>
          <w:sz w:val="20"/>
        </w:rPr>
        <w:fldChar w:fldCharType="separate"/>
      </w:r>
      <w:r>
        <w:rPr>
          <w:rFonts w:eastAsia="楷体"/>
          <w:sz w:val="20"/>
        </w:rPr>
        <w:t>9.3</w:t>
      </w:r>
      <w:r>
        <w:rPr>
          <w:rFonts w:eastAsia="楷体"/>
          <w:sz w:val="20"/>
        </w:rPr>
        <w:fldChar w:fldCharType="end"/>
      </w:r>
      <w:r>
        <w:rPr>
          <w:rFonts w:eastAsia="楷体"/>
          <w:sz w:val="20"/>
        </w:rPr>
        <w:t>项条件向</w:t>
      </w:r>
      <w:r>
        <w:rPr>
          <w:rFonts w:eastAsia="楷体"/>
          <w:sz w:val="20"/>
        </w:rPr>
        <w:t>Vita</w:t>
      </w:r>
      <w:r>
        <w:rPr>
          <w:rFonts w:eastAsia="楷体"/>
          <w:sz w:val="20"/>
        </w:rPr>
        <w:t>全额商品价格，买方无权运用任何抵消、留置或其他类似权利或权利主张。</w:t>
      </w:r>
    </w:p>
    <w:p w:rsidR="00681DDD">
      <w:pPr>
        <w:pStyle w:val="Heading2"/>
        <w:spacing w:line="276" w:lineRule="auto"/>
        <w:rPr>
          <w:rFonts w:eastAsia="楷体"/>
          <w:sz w:val="20"/>
        </w:rPr>
      </w:pPr>
      <w:r>
        <w:rPr>
          <w:rFonts w:eastAsia="楷体"/>
          <w:sz w:val="20"/>
        </w:rPr>
        <w:t>若买方出现资不抵债事件，则视为违反订单。</w:t>
      </w:r>
    </w:p>
    <w:p w:rsidR="00681DDD">
      <w:pPr>
        <w:pStyle w:val="Heading2"/>
        <w:spacing w:line="276" w:lineRule="auto"/>
        <w:rPr>
          <w:rFonts w:eastAsia="楷体"/>
          <w:sz w:val="20"/>
        </w:rPr>
      </w:pPr>
      <w:r>
        <w:rPr>
          <w:rFonts w:eastAsia="楷体"/>
          <w:sz w:val="20"/>
        </w:rPr>
        <w:t>Vita</w:t>
      </w:r>
      <w:r>
        <w:rPr>
          <w:rFonts w:eastAsia="楷体"/>
          <w:sz w:val="20"/>
        </w:rPr>
        <w:t>保留随时自主决定要求付款担保再行继续履行或交付任何订单（或部分订单）的权利。</w:t>
      </w:r>
    </w:p>
    <w:p w:rsidR="00681DDD">
      <w:pPr>
        <w:pStyle w:val="Heading2"/>
        <w:spacing w:line="276" w:lineRule="auto"/>
        <w:rPr>
          <w:rFonts w:eastAsia="楷体"/>
          <w:sz w:val="20"/>
        </w:rPr>
      </w:pPr>
      <w:r>
        <w:rPr>
          <w:rFonts w:eastAsia="楷体"/>
          <w:sz w:val="20"/>
        </w:rPr>
        <w:t>如果根据任何订单的适用条款约定，价格采用分期支付的方式，或者如果买方同意于特定时间接受特定数量商品，而买方未支付任何一期到期款项，或者未就未交付商品的任何数量给出交付指令，则全部剩余价格立即到期应付。</w:t>
      </w:r>
    </w:p>
    <w:p w:rsidR="00681DDD">
      <w:pPr>
        <w:pStyle w:val="Heading1"/>
        <w:keepNext/>
        <w:spacing w:line="276" w:lineRule="auto"/>
        <w:ind w:firstLine="0"/>
        <w:rPr>
          <w:rFonts w:eastAsia="楷体"/>
          <w:color w:val="00A5E7"/>
          <w:sz w:val="20"/>
          <w:u w:val="none"/>
        </w:rPr>
      </w:pPr>
      <w:r>
        <w:rPr>
          <w:rFonts w:eastAsia="楷体"/>
          <w:color w:val="00A5E7"/>
          <w:sz w:val="20"/>
          <w:u w:val="none"/>
        </w:rPr>
        <w:t>交付</w:t>
      </w:r>
    </w:p>
    <w:p w:rsidR="00681DDD">
      <w:pPr>
        <w:pStyle w:val="Heading2"/>
        <w:keepNext/>
        <w:spacing w:line="276" w:lineRule="auto"/>
        <w:rPr>
          <w:rFonts w:eastAsia="楷体"/>
          <w:sz w:val="20"/>
        </w:rPr>
      </w:pPr>
      <w:r>
        <w:rPr>
          <w:rFonts w:eastAsia="楷体"/>
          <w:sz w:val="20"/>
        </w:rPr>
        <w:t>除非</w:t>
      </w:r>
      <w:r>
        <w:rPr>
          <w:rFonts w:eastAsia="楷体"/>
          <w:sz w:val="20"/>
        </w:rPr>
        <w:t>Vita</w:t>
      </w:r>
      <w:r>
        <w:rPr>
          <w:rFonts w:eastAsia="楷体"/>
          <w:sz w:val="20"/>
        </w:rPr>
        <w:t>另予书面同意，于以下地点实现交付：</w:t>
      </w:r>
    </w:p>
    <w:p w:rsidR="00681DDD">
      <w:pPr>
        <w:pStyle w:val="Heading3"/>
        <w:tabs>
          <w:tab w:val="num" w:pos="2160"/>
        </w:tabs>
        <w:spacing w:line="276" w:lineRule="auto"/>
        <w:ind w:left="2160" w:hanging="720"/>
        <w:rPr>
          <w:rFonts w:eastAsia="楷体"/>
          <w:sz w:val="20"/>
        </w:rPr>
      </w:pPr>
      <w:bookmarkStart w:id="3" w:name="_Ref31574971"/>
      <w:bookmarkStart w:id="4" w:name="_Ref519873980"/>
      <w:r>
        <w:rPr>
          <w:rFonts w:eastAsia="楷体"/>
          <w:sz w:val="20"/>
        </w:rPr>
        <w:t>使用买方交通的，于</w:t>
      </w:r>
      <w:r>
        <w:rPr>
          <w:rFonts w:eastAsia="楷体"/>
          <w:sz w:val="20"/>
        </w:rPr>
        <w:t>Vita</w:t>
      </w:r>
      <w:r>
        <w:rPr>
          <w:rFonts w:eastAsia="楷体"/>
          <w:sz w:val="20"/>
        </w:rPr>
        <w:t>场所；或</w:t>
      </w:r>
      <w:bookmarkEnd w:id="3"/>
    </w:p>
    <w:p w:rsidR="00681DDD">
      <w:pPr>
        <w:pStyle w:val="Heading3"/>
        <w:tabs>
          <w:tab w:val="num" w:pos="2160"/>
        </w:tabs>
        <w:spacing w:line="276" w:lineRule="auto"/>
        <w:ind w:left="2160" w:hanging="720"/>
        <w:rPr>
          <w:rFonts w:eastAsia="楷体"/>
          <w:sz w:val="20"/>
        </w:rPr>
      </w:pPr>
      <w:bookmarkStart w:id="5" w:name="_Ref31576612"/>
      <w:bookmarkStart w:id="6" w:name="_Ref519873993"/>
      <w:bookmarkEnd w:id="4"/>
      <w:r>
        <w:rPr>
          <w:rFonts w:eastAsia="楷体"/>
          <w:sz w:val="20"/>
        </w:rPr>
        <w:t>使用</w:t>
      </w:r>
      <w:r>
        <w:rPr>
          <w:rFonts w:eastAsia="楷体"/>
          <w:sz w:val="20"/>
        </w:rPr>
        <w:t>Vita</w:t>
      </w:r>
      <w:r>
        <w:rPr>
          <w:rFonts w:eastAsia="楷体"/>
          <w:sz w:val="20"/>
        </w:rPr>
        <w:t>交通（或代表</w:t>
      </w:r>
      <w:r>
        <w:rPr>
          <w:rFonts w:eastAsia="楷体"/>
          <w:sz w:val="20"/>
        </w:rPr>
        <w:t>Vita</w:t>
      </w:r>
      <w:r>
        <w:rPr>
          <w:rFonts w:eastAsia="楷体"/>
          <w:sz w:val="20"/>
        </w:rPr>
        <w:t>的第三方物流供应商）的，商品交付至买方场所或者双方约定的其他场所</w:t>
      </w:r>
      <w:bookmarkEnd w:id="5"/>
    </w:p>
    <w:p w:rsidR="00681DDD">
      <w:pPr>
        <w:pStyle w:val="Heading2"/>
        <w:keepNext/>
        <w:spacing w:line="276" w:lineRule="auto"/>
        <w:rPr>
          <w:rFonts w:eastAsia="楷体"/>
          <w:sz w:val="20"/>
        </w:rPr>
      </w:pPr>
      <w:bookmarkEnd w:id="6"/>
      <w:r>
        <w:rPr>
          <w:rFonts w:eastAsia="楷体"/>
          <w:sz w:val="20"/>
        </w:rPr>
        <w:t>若交付地点并非</w:t>
      </w:r>
      <w:r>
        <w:rPr>
          <w:rFonts w:eastAsia="楷体"/>
          <w:sz w:val="20"/>
        </w:rPr>
        <w:t>Vita</w:t>
      </w:r>
      <w:r>
        <w:rPr>
          <w:rFonts w:eastAsia="楷体"/>
          <w:sz w:val="20"/>
        </w:rPr>
        <w:t>场所，买方应：</w:t>
      </w:r>
    </w:p>
    <w:p w:rsidR="00681DDD">
      <w:pPr>
        <w:pStyle w:val="Heading3"/>
        <w:keepNext/>
        <w:tabs>
          <w:tab w:val="num" w:pos="2160"/>
        </w:tabs>
        <w:spacing w:line="276" w:lineRule="auto"/>
        <w:ind w:left="2160" w:hanging="720"/>
        <w:rPr>
          <w:rFonts w:eastAsia="楷体"/>
          <w:sz w:val="20"/>
        </w:rPr>
      </w:pPr>
      <w:r>
        <w:rPr>
          <w:rFonts w:eastAsia="楷体"/>
          <w:sz w:val="20"/>
        </w:rPr>
        <w:t>提供交</w:t>
      </w:r>
      <w:r>
        <w:rPr>
          <w:rFonts w:eastAsia="楷体"/>
          <w:sz w:val="20"/>
        </w:rPr>
        <w:t>付地点，卸载商品的足额费用、适当设备和人力由买方自行负责；并且</w:t>
      </w:r>
    </w:p>
    <w:p w:rsidR="00681DDD">
      <w:pPr>
        <w:pStyle w:val="Heading3"/>
        <w:keepNext/>
        <w:tabs>
          <w:tab w:val="num" w:pos="2160"/>
        </w:tabs>
        <w:spacing w:line="276" w:lineRule="auto"/>
        <w:ind w:left="2160" w:hanging="720"/>
        <w:rPr>
          <w:rFonts w:eastAsia="楷体"/>
          <w:sz w:val="20"/>
        </w:rPr>
      </w:pPr>
      <w:r>
        <w:rPr>
          <w:rFonts w:eastAsia="楷体"/>
          <w:sz w:val="20"/>
        </w:rPr>
        <w:t>负责确保商品卸至正确的仓储区域。</w:t>
      </w:r>
    </w:p>
    <w:p w:rsidR="00681DDD">
      <w:pPr>
        <w:pStyle w:val="Heading2"/>
        <w:spacing w:line="276" w:lineRule="auto"/>
        <w:rPr>
          <w:rFonts w:eastAsia="楷体"/>
          <w:sz w:val="20"/>
        </w:rPr>
      </w:pPr>
      <w:r>
        <w:rPr>
          <w:rFonts w:eastAsia="楷体"/>
          <w:sz w:val="20"/>
        </w:rPr>
        <w:t>商品交付时间或日期（包括履行日）均仅为估算，</w:t>
      </w:r>
      <w:r>
        <w:rPr>
          <w:rFonts w:eastAsia="楷体"/>
          <w:sz w:val="20"/>
        </w:rPr>
        <w:t>Vita</w:t>
      </w:r>
      <w:r>
        <w:rPr>
          <w:rFonts w:eastAsia="楷体"/>
          <w:sz w:val="20"/>
        </w:rPr>
        <w:t>无需就任何原因导致的商品交付延迟承担责任。交付时间并非关键因素。</w:t>
      </w:r>
      <w:r>
        <w:rPr>
          <w:rFonts w:eastAsia="楷体"/>
          <w:sz w:val="20"/>
        </w:rPr>
        <w:t>Vita</w:t>
      </w:r>
      <w:r>
        <w:rPr>
          <w:rFonts w:eastAsia="楷体"/>
          <w:sz w:val="20"/>
        </w:rPr>
        <w:t>可在以合理提前量通知买方后，在告知的交付日期之前交付商品。</w:t>
      </w:r>
    </w:p>
    <w:p w:rsidR="00681DDD">
      <w:pPr>
        <w:pStyle w:val="Heading2"/>
        <w:spacing w:line="276" w:lineRule="auto"/>
        <w:rPr>
          <w:rFonts w:eastAsia="楷体"/>
          <w:sz w:val="20"/>
        </w:rPr>
      </w:pPr>
      <w:bookmarkStart w:id="7" w:name="_Ref31572182"/>
      <w:bookmarkStart w:id="8" w:name="_Ref519873963"/>
      <w:r>
        <w:rPr>
          <w:rFonts w:eastAsia="楷体"/>
          <w:sz w:val="20"/>
        </w:rPr>
        <w:t xml:space="preserve">Vita </w:t>
      </w:r>
      <w:r>
        <w:rPr>
          <w:rFonts w:eastAsia="楷体"/>
          <w:sz w:val="20"/>
        </w:rPr>
        <w:t>保留分批次交付，以及就每一批次单独开具账单的权利。</w:t>
      </w:r>
      <w:bookmarkEnd w:id="7"/>
    </w:p>
    <w:p w:rsidR="00681DDD">
      <w:pPr>
        <w:pStyle w:val="Heading2"/>
        <w:spacing w:line="276" w:lineRule="auto"/>
        <w:rPr>
          <w:rFonts w:eastAsia="楷体"/>
          <w:sz w:val="20"/>
        </w:rPr>
      </w:pPr>
      <w:bookmarkEnd w:id="8"/>
      <w:r>
        <w:rPr>
          <w:rFonts w:eastAsia="楷体"/>
          <w:sz w:val="20"/>
        </w:rPr>
        <w:t>若约定分批次交付，或者</w:t>
      </w:r>
      <w:r>
        <w:rPr>
          <w:rFonts w:eastAsia="楷体"/>
          <w:sz w:val="20"/>
        </w:rPr>
        <w:t>Vita</w:t>
      </w:r>
      <w:r>
        <w:rPr>
          <w:rFonts w:eastAsia="楷体"/>
          <w:sz w:val="20"/>
        </w:rPr>
        <w:t>根据第</w:t>
      </w:r>
      <w:r>
        <w:rPr>
          <w:rFonts w:eastAsia="楷体"/>
          <w:sz w:val="20"/>
        </w:rPr>
        <w:fldChar w:fldCharType="begin"/>
      </w:r>
      <w:r>
        <w:rPr>
          <w:rFonts w:eastAsia="楷体"/>
          <w:sz w:val="20"/>
        </w:rPr>
        <w:instrText xml:space="preserve"> REF _Ref31572182 \r \h  \* MERGEFORMAT </w:instrText>
      </w:r>
      <w:r>
        <w:rPr>
          <w:rFonts w:eastAsia="楷体"/>
          <w:sz w:val="20"/>
        </w:rPr>
        <w:fldChar w:fldCharType="separate"/>
      </w:r>
      <w:r>
        <w:rPr>
          <w:rFonts w:eastAsia="楷体"/>
          <w:sz w:val="20"/>
        </w:rPr>
        <w:t>10.4</w:t>
      </w:r>
      <w:r>
        <w:rPr>
          <w:rFonts w:eastAsia="楷体"/>
          <w:sz w:val="20"/>
        </w:rPr>
        <w:fldChar w:fldCharType="end"/>
      </w:r>
      <w:r>
        <w:rPr>
          <w:rFonts w:eastAsia="楷体"/>
          <w:sz w:val="20"/>
        </w:rPr>
        <w:t>项条件行使分批次交付的权利，而任何一</w:t>
      </w:r>
      <w:r>
        <w:rPr>
          <w:rFonts w:eastAsia="楷体"/>
          <w:sz w:val="20"/>
        </w:rPr>
        <w:t>(1)</w:t>
      </w:r>
      <w:r>
        <w:rPr>
          <w:rFonts w:eastAsia="楷体"/>
          <w:sz w:val="20"/>
        </w:rPr>
        <w:t>批次或数批次交付因故延迟，买方无权主张损害赔偿金或者认定订单违约。</w:t>
      </w:r>
    </w:p>
    <w:p w:rsidR="00681DDD">
      <w:pPr>
        <w:pStyle w:val="Heading2"/>
        <w:keepNext/>
        <w:spacing w:line="276" w:lineRule="auto"/>
        <w:rPr>
          <w:rFonts w:eastAsia="楷体"/>
          <w:sz w:val="20"/>
        </w:rPr>
      </w:pPr>
      <w:r>
        <w:rPr>
          <w:rFonts w:eastAsia="楷体"/>
          <w:sz w:val="20"/>
        </w:rPr>
        <w:t>若</w:t>
      </w:r>
    </w:p>
    <w:p w:rsidR="00681DDD">
      <w:pPr>
        <w:pStyle w:val="Heading3"/>
        <w:tabs>
          <w:tab w:val="num" w:pos="2160"/>
        </w:tabs>
        <w:spacing w:line="276" w:lineRule="auto"/>
        <w:ind w:left="2160" w:hanging="720"/>
        <w:rPr>
          <w:rFonts w:eastAsia="楷体"/>
          <w:sz w:val="20"/>
        </w:rPr>
      </w:pPr>
      <w:bookmarkStart w:id="9" w:name="_Ref31582716"/>
      <w:bookmarkStart w:id="10" w:name="_Ref14811600"/>
      <w:r>
        <w:rPr>
          <w:rFonts w:eastAsia="楷体"/>
          <w:sz w:val="20"/>
        </w:rPr>
        <w:t>商品相比订单数量出现缺量或超量交付（价值差不超过百分之十</w:t>
      </w:r>
      <w:r>
        <w:rPr>
          <w:rFonts w:eastAsia="楷体"/>
          <w:sz w:val="20"/>
        </w:rPr>
        <w:t>(10%)</w:t>
      </w:r>
      <w:r>
        <w:rPr>
          <w:rFonts w:eastAsia="楷体"/>
          <w:sz w:val="20"/>
        </w:rPr>
        <w:t>）（</w:t>
      </w:r>
      <w:r>
        <w:rPr>
          <w:rFonts w:eastAsia="楷体"/>
          <w:sz w:val="20"/>
        </w:rPr>
        <w:t>“</w:t>
      </w:r>
      <w:r>
        <w:rPr>
          <w:rFonts w:eastAsia="楷体"/>
          <w:b/>
          <w:bCs/>
          <w:sz w:val="20"/>
        </w:rPr>
        <w:t>容差</w:t>
      </w:r>
      <w:r>
        <w:rPr>
          <w:rFonts w:eastAsia="楷体"/>
          <w:sz w:val="20"/>
        </w:rPr>
        <w:t>”</w:t>
      </w:r>
      <w:r>
        <w:rPr>
          <w:rFonts w:eastAsia="楷体"/>
          <w:sz w:val="20"/>
        </w:rPr>
        <w:t>），则买方必须收取实际供应的商品并付款（并且无权拒收商品或主张损害赔偿）。若缺量交付，</w:t>
      </w:r>
      <w:r>
        <w:rPr>
          <w:rFonts w:eastAsia="楷体"/>
          <w:sz w:val="20"/>
        </w:rPr>
        <w:t>Vita</w:t>
      </w:r>
      <w:r>
        <w:rPr>
          <w:rFonts w:eastAsia="楷体"/>
          <w:sz w:val="20"/>
        </w:rPr>
        <w:t>应返还已订购但未供应商品的价格（若商品价格已经支付）或者针对相关账单（或其中相关部分）开具贷记凭证（若商品价格尚未支付）；</w:t>
      </w:r>
      <w:bookmarkEnd w:id="9"/>
    </w:p>
    <w:p w:rsidR="00681DDD">
      <w:pPr>
        <w:pStyle w:val="Heading3"/>
        <w:tabs>
          <w:tab w:val="num" w:pos="2160"/>
        </w:tabs>
        <w:spacing w:line="276" w:lineRule="auto"/>
        <w:ind w:left="2160" w:hanging="720"/>
        <w:rPr>
          <w:rFonts w:eastAsia="楷体"/>
          <w:sz w:val="20"/>
        </w:rPr>
      </w:pPr>
      <w:bookmarkEnd w:id="10"/>
      <w:r>
        <w:rPr>
          <w:rFonts w:eastAsia="楷体"/>
          <w:sz w:val="20"/>
        </w:rPr>
        <w:t>商品缺量交付</w:t>
      </w:r>
      <w:r>
        <w:rPr>
          <w:rFonts w:eastAsia="楷体"/>
          <w:sz w:val="20"/>
        </w:rPr>
        <w:t>（超过容差），则买方可以（但无义务）收取实际交付的商品并付款，或者有权拒绝全部订单，拒绝收取商品。商品价格已经支付的，</w:t>
      </w:r>
      <w:r>
        <w:rPr>
          <w:rFonts w:eastAsia="楷体"/>
          <w:sz w:val="20"/>
        </w:rPr>
        <w:t>Vita</w:t>
      </w:r>
      <w:r>
        <w:rPr>
          <w:rFonts w:eastAsia="楷体"/>
          <w:sz w:val="20"/>
        </w:rPr>
        <w:t>应返还价格；商品价格尚未支付的，</w:t>
      </w:r>
      <w:r>
        <w:rPr>
          <w:rFonts w:eastAsia="楷体"/>
          <w:sz w:val="20"/>
        </w:rPr>
        <w:t>Vita</w:t>
      </w:r>
      <w:r>
        <w:rPr>
          <w:rFonts w:eastAsia="楷体"/>
          <w:sz w:val="20"/>
        </w:rPr>
        <w:t>应针对相关账单开具贷记凭证；或</w:t>
      </w:r>
    </w:p>
    <w:p w:rsidR="00681DDD">
      <w:pPr>
        <w:pStyle w:val="Heading3"/>
        <w:keepNext/>
        <w:tabs>
          <w:tab w:val="num" w:pos="2160"/>
        </w:tabs>
        <w:spacing w:line="276" w:lineRule="auto"/>
        <w:ind w:left="2160" w:hanging="720"/>
        <w:rPr>
          <w:rFonts w:eastAsia="楷体"/>
          <w:sz w:val="20"/>
        </w:rPr>
      </w:pPr>
      <w:r>
        <w:rPr>
          <w:rFonts w:eastAsia="楷体"/>
          <w:sz w:val="20"/>
        </w:rPr>
        <w:t>商品超量交付（超过容差），则买方有权自主决定：</w:t>
      </w:r>
    </w:p>
    <w:p w:rsidR="00681DDD">
      <w:pPr>
        <w:pStyle w:val="Heading4"/>
        <w:tabs>
          <w:tab w:val="num" w:pos="3150"/>
        </w:tabs>
        <w:spacing w:line="276" w:lineRule="auto"/>
        <w:ind w:left="3510" w:hanging="1350"/>
        <w:rPr>
          <w:rFonts w:eastAsia="楷体"/>
          <w:sz w:val="20"/>
        </w:rPr>
      </w:pPr>
      <w:r>
        <w:rPr>
          <w:rFonts w:eastAsia="楷体"/>
          <w:sz w:val="20"/>
        </w:rPr>
        <w:t>按实际数量接收商品，并支付价格；</w:t>
      </w:r>
    </w:p>
    <w:p w:rsidR="00681DDD">
      <w:pPr>
        <w:pStyle w:val="Heading4"/>
        <w:tabs>
          <w:tab w:val="num" w:pos="3150"/>
        </w:tabs>
        <w:spacing w:line="276" w:lineRule="auto"/>
        <w:ind w:left="3150" w:hanging="990"/>
        <w:rPr>
          <w:rFonts w:eastAsia="楷体"/>
          <w:sz w:val="20"/>
        </w:rPr>
      </w:pPr>
      <w:r>
        <w:rPr>
          <w:rFonts w:eastAsia="楷体"/>
          <w:sz w:val="20"/>
        </w:rPr>
        <w:t>拒收超过容差部分的超量交付商品，并按容差数量接收商品，并支付价格；或</w:t>
      </w:r>
    </w:p>
    <w:p w:rsidR="00681DDD">
      <w:pPr>
        <w:pStyle w:val="Heading4"/>
        <w:tabs>
          <w:tab w:val="num" w:pos="3150"/>
        </w:tabs>
        <w:spacing w:line="276" w:lineRule="auto"/>
        <w:ind w:left="3150" w:hanging="990"/>
        <w:rPr>
          <w:rFonts w:eastAsia="楷体"/>
          <w:sz w:val="20"/>
        </w:rPr>
      </w:pPr>
      <w:r>
        <w:rPr>
          <w:rFonts w:eastAsia="楷体"/>
          <w:sz w:val="20"/>
        </w:rPr>
        <w:t>拒收超过容差部分的一部分超量交付商品，并接收其余商品，并支付价格。</w:t>
      </w:r>
    </w:p>
    <w:p w:rsidR="00681DDD">
      <w:pPr>
        <w:pStyle w:val="Heading2"/>
        <w:spacing w:line="276" w:lineRule="auto"/>
        <w:rPr>
          <w:rFonts w:eastAsia="楷体"/>
          <w:sz w:val="20"/>
        </w:rPr>
      </w:pPr>
      <w:r>
        <w:rPr>
          <w:rFonts w:eastAsia="楷体"/>
          <w:sz w:val="20"/>
        </w:rPr>
        <w:t>Vita</w:t>
      </w:r>
      <w:r>
        <w:rPr>
          <w:rFonts w:eastAsia="楷体"/>
          <w:sz w:val="20"/>
        </w:rPr>
        <w:t>在发货后记录的任何商品寄售数量为买方交付后收到数量的最终证明，但买方能提供相反最终证明的除外。</w:t>
      </w:r>
    </w:p>
    <w:p w:rsidR="00681DDD">
      <w:pPr>
        <w:pStyle w:val="Heading2"/>
        <w:spacing w:line="276" w:lineRule="auto"/>
        <w:rPr>
          <w:rFonts w:eastAsia="楷体"/>
          <w:sz w:val="20"/>
        </w:rPr>
      </w:pPr>
      <w:r>
        <w:rPr>
          <w:rFonts w:eastAsia="楷体"/>
          <w:sz w:val="20"/>
        </w:rPr>
        <w:t>若买方拒绝收货，或者交付因买方要求延迟或中止，或者</w:t>
      </w:r>
      <w:r>
        <w:rPr>
          <w:rFonts w:eastAsia="楷体"/>
          <w:sz w:val="20"/>
        </w:rPr>
        <w:t>Vita</w:t>
      </w:r>
      <w:r>
        <w:rPr>
          <w:rFonts w:eastAsia="楷体"/>
          <w:sz w:val="20"/>
        </w:rPr>
        <w:t>由于超出自身合理控制的原因而无法交付商品，则</w:t>
      </w:r>
      <w:r>
        <w:rPr>
          <w:rFonts w:eastAsia="楷体"/>
          <w:sz w:val="20"/>
        </w:rPr>
        <w:t>Vita</w:t>
      </w:r>
      <w:r>
        <w:rPr>
          <w:rFonts w:eastAsia="楷体"/>
          <w:sz w:val="20"/>
        </w:rPr>
        <w:t>可在告知准备交付的通知后：</w:t>
      </w:r>
    </w:p>
    <w:p w:rsidR="00681DDD">
      <w:pPr>
        <w:pStyle w:val="Heading3"/>
        <w:tabs>
          <w:tab w:val="num" w:pos="2160"/>
          <w:tab w:val="left" w:pos="2430"/>
        </w:tabs>
        <w:spacing w:line="276" w:lineRule="auto"/>
        <w:ind w:left="2160" w:hanging="720"/>
        <w:rPr>
          <w:rFonts w:eastAsia="楷体"/>
          <w:sz w:val="20"/>
        </w:rPr>
      </w:pPr>
      <w:r>
        <w:rPr>
          <w:rFonts w:eastAsia="楷体"/>
          <w:sz w:val="20"/>
        </w:rPr>
        <w:t>视为订单完成，并将商品交存。就开账付款和风险转移而言，交付视为完成。商品仓储和保险费用由买方承担；或</w:t>
      </w:r>
    </w:p>
    <w:p w:rsidR="00681DDD">
      <w:pPr>
        <w:pStyle w:val="Heading3"/>
        <w:tabs>
          <w:tab w:val="num" w:pos="2160"/>
          <w:tab w:val="left" w:pos="2430"/>
        </w:tabs>
        <w:spacing w:line="276" w:lineRule="auto"/>
        <w:ind w:left="2160" w:hanging="720"/>
        <w:rPr>
          <w:rFonts w:eastAsia="楷体"/>
          <w:sz w:val="20"/>
        </w:rPr>
      </w:pPr>
      <w:r>
        <w:rPr>
          <w:rFonts w:eastAsia="楷体"/>
          <w:sz w:val="20"/>
        </w:rPr>
        <w:t>按可以获得的最佳价格销售商品，并在扣除所有仓储和销售支出后向买方收取超过订单价格的部分，或者向买方收取订单价格的缺额部分。</w:t>
      </w:r>
    </w:p>
    <w:p w:rsidR="00681DDD">
      <w:pPr>
        <w:pStyle w:val="Heading2"/>
        <w:spacing w:line="276" w:lineRule="auto"/>
        <w:rPr>
          <w:rFonts w:eastAsia="楷体"/>
          <w:sz w:val="20"/>
        </w:rPr>
      </w:pPr>
      <w:r>
        <w:rPr>
          <w:rFonts w:eastAsia="楷体"/>
          <w:sz w:val="20"/>
        </w:rPr>
        <w:t>Vita</w:t>
      </w:r>
      <w:r>
        <w:rPr>
          <w:rFonts w:eastAsia="楷体"/>
          <w:sz w:val="20"/>
        </w:rPr>
        <w:t>就未交付商品所承担的任何责任，仅限于在合理时</w:t>
      </w:r>
      <w:r>
        <w:rPr>
          <w:rFonts w:eastAsia="楷体"/>
          <w:sz w:val="20"/>
        </w:rPr>
        <w:t>间内替换商品，或者根据订单按比例开具贷记凭证，抵扣商品账单。</w:t>
      </w:r>
    </w:p>
    <w:p w:rsidR="00681DDD">
      <w:pPr>
        <w:pStyle w:val="Heading1"/>
        <w:keepNext/>
        <w:spacing w:line="276" w:lineRule="auto"/>
        <w:ind w:firstLine="0"/>
        <w:rPr>
          <w:rFonts w:eastAsia="楷体"/>
          <w:color w:val="00A5E7"/>
          <w:sz w:val="20"/>
          <w:u w:val="none"/>
        </w:rPr>
      </w:pPr>
      <w:bookmarkStart w:id="11" w:name="_Ref519873971"/>
      <w:r>
        <w:rPr>
          <w:rFonts w:eastAsia="楷体"/>
          <w:color w:val="00A5E7"/>
          <w:sz w:val="20"/>
          <w:u w:val="none"/>
        </w:rPr>
        <w:t>出口条款</w:t>
      </w:r>
      <w:bookmarkEnd w:id="11"/>
    </w:p>
    <w:p w:rsidR="00681DDD">
      <w:pPr>
        <w:pStyle w:val="Heading2"/>
        <w:keepLines/>
        <w:spacing w:line="276" w:lineRule="auto"/>
        <w:rPr>
          <w:rFonts w:eastAsia="楷体"/>
          <w:sz w:val="20"/>
        </w:rPr>
      </w:pPr>
      <w:r>
        <w:rPr>
          <w:rFonts w:eastAsia="楷体"/>
          <w:sz w:val="20"/>
        </w:rPr>
        <w:t>若</w:t>
      </w:r>
      <w:r>
        <w:rPr>
          <w:rFonts w:eastAsia="楷体"/>
          <w:sz w:val="20"/>
        </w:rPr>
        <w:t>Vita</w:t>
      </w:r>
      <w:r>
        <w:rPr>
          <w:rFonts w:eastAsia="楷体"/>
          <w:sz w:val="20"/>
        </w:rPr>
        <w:t>同意供应或促成供应商品，用于从中国出口，则无论条件其他条款如何约定，均适用第</w:t>
      </w:r>
      <w:r>
        <w:rPr>
          <w:rFonts w:eastAsia="楷体"/>
          <w:sz w:val="20"/>
        </w:rPr>
        <w:fldChar w:fldCharType="begin"/>
      </w:r>
      <w:r>
        <w:rPr>
          <w:rFonts w:eastAsia="楷体"/>
          <w:sz w:val="20"/>
        </w:rPr>
        <w:instrText xml:space="preserve"> REF _Ref519873971 \r \h  \* MERGEFORMAT </w:instrText>
      </w:r>
      <w:r>
        <w:rPr>
          <w:rFonts w:eastAsia="楷体"/>
          <w:sz w:val="20"/>
        </w:rPr>
        <w:fldChar w:fldCharType="separate"/>
      </w:r>
      <w:r>
        <w:rPr>
          <w:rFonts w:eastAsia="楷体"/>
          <w:sz w:val="20"/>
        </w:rPr>
        <w:t>11</w:t>
      </w:r>
      <w:r>
        <w:rPr>
          <w:rFonts w:eastAsia="楷体"/>
          <w:sz w:val="20"/>
        </w:rPr>
        <w:fldChar w:fldCharType="end"/>
      </w:r>
      <w:r>
        <w:rPr>
          <w:rFonts w:eastAsia="楷体"/>
          <w:sz w:val="20"/>
        </w:rPr>
        <w:t>项条件（但双方书面约定任何特别条款的，以约定的特别条款为准）。</w:t>
      </w:r>
    </w:p>
    <w:p w:rsidR="00681DDD">
      <w:pPr>
        <w:pStyle w:val="Heading2"/>
        <w:spacing w:line="276" w:lineRule="auto"/>
        <w:rPr>
          <w:rFonts w:eastAsia="楷体"/>
          <w:sz w:val="20"/>
        </w:rPr>
      </w:pPr>
      <w:r>
        <w:rPr>
          <w:rFonts w:eastAsia="楷体"/>
          <w:sz w:val="20"/>
        </w:rPr>
        <w:t>买方应自行负责遵守商品出口目的地国关于商品进口的任何法律法规，并缴纳商品关税。</w:t>
      </w:r>
    </w:p>
    <w:p w:rsidR="00681DDD">
      <w:pPr>
        <w:pStyle w:val="Heading2"/>
        <w:spacing w:line="276" w:lineRule="auto"/>
        <w:rPr>
          <w:rFonts w:eastAsia="楷体"/>
          <w:sz w:val="20"/>
        </w:rPr>
      </w:pPr>
      <w:bookmarkStart w:id="12" w:name="_Ref31574979"/>
      <w:bookmarkStart w:id="13" w:name="_Ref17215878"/>
      <w:r>
        <w:rPr>
          <w:rFonts w:eastAsia="楷体"/>
          <w:sz w:val="20"/>
        </w:rPr>
        <w:t>除非双方另有书面约定，商品交付采用</w:t>
      </w:r>
      <w:r>
        <w:rPr>
          <w:rFonts w:eastAsia="楷体"/>
          <w:sz w:val="20"/>
        </w:rPr>
        <w:t>Incoterms EXW</w:t>
      </w:r>
      <w:r>
        <w:rPr>
          <w:rFonts w:eastAsia="楷体" w:hint="eastAsia"/>
          <w:sz w:val="20"/>
        </w:rPr>
        <w:t>术语</w:t>
      </w:r>
      <w:r>
        <w:rPr>
          <w:rFonts w:eastAsia="楷体"/>
          <w:sz w:val="20"/>
        </w:rPr>
        <w:t>，于</w:t>
      </w:r>
      <w:r>
        <w:rPr>
          <w:rFonts w:eastAsia="楷体"/>
          <w:sz w:val="20"/>
        </w:rPr>
        <w:t>Vita</w:t>
      </w:r>
      <w:r>
        <w:rPr>
          <w:rFonts w:eastAsia="楷体"/>
          <w:sz w:val="20"/>
        </w:rPr>
        <w:t>场所交付；若适用其他</w:t>
      </w:r>
      <w:r>
        <w:rPr>
          <w:rFonts w:eastAsia="楷体"/>
          <w:sz w:val="20"/>
        </w:rPr>
        <w:t>Incoterms</w:t>
      </w:r>
      <w:r>
        <w:rPr>
          <w:rFonts w:eastAsia="楷体"/>
          <w:sz w:val="20"/>
        </w:rPr>
        <w:t>术语，</w:t>
      </w:r>
      <w:r>
        <w:rPr>
          <w:rFonts w:eastAsia="楷体"/>
          <w:sz w:val="20"/>
        </w:rPr>
        <w:t>Vita</w:t>
      </w:r>
      <w:r>
        <w:rPr>
          <w:rFonts w:eastAsia="楷体"/>
          <w:sz w:val="20"/>
        </w:rPr>
        <w:t>无义务通知买方。</w:t>
      </w:r>
      <w:bookmarkEnd w:id="12"/>
    </w:p>
    <w:p w:rsidR="00681DDD">
      <w:pPr>
        <w:pStyle w:val="Heading2"/>
        <w:spacing w:line="276" w:lineRule="auto"/>
        <w:rPr>
          <w:rFonts w:eastAsia="楷体"/>
          <w:sz w:val="20"/>
        </w:rPr>
      </w:pPr>
      <w:bookmarkEnd w:id="13"/>
      <w:r>
        <w:rPr>
          <w:rFonts w:eastAsia="楷体"/>
          <w:sz w:val="20"/>
        </w:rPr>
        <w:t>对于供出口中国境外的商品，应向</w:t>
      </w:r>
      <w:r>
        <w:rPr>
          <w:rFonts w:eastAsia="楷体"/>
          <w:sz w:val="20"/>
        </w:rPr>
        <w:t>Vita</w:t>
      </w:r>
      <w:r>
        <w:rPr>
          <w:rFonts w:eastAsia="楷体"/>
          <w:sz w:val="20"/>
        </w:rPr>
        <w:t>支付的所有款项均以不可撤消信用证支付，该信用证由买方开立，受益人为</w:t>
      </w:r>
      <w:r>
        <w:rPr>
          <w:rFonts w:eastAsia="楷体"/>
          <w:sz w:val="20"/>
        </w:rPr>
        <w:t>Vita</w:t>
      </w:r>
      <w:r>
        <w:rPr>
          <w:rFonts w:eastAsia="楷体"/>
          <w:sz w:val="20"/>
        </w:rPr>
        <w:t>，须采用</w:t>
      </w:r>
      <w:r>
        <w:rPr>
          <w:rFonts w:eastAsia="楷体"/>
          <w:sz w:val="20"/>
        </w:rPr>
        <w:t>Vita</w:t>
      </w:r>
      <w:r>
        <w:rPr>
          <w:rFonts w:eastAsia="楷体"/>
          <w:sz w:val="20"/>
        </w:rPr>
        <w:t>认可的格式，并经</w:t>
      </w:r>
      <w:r>
        <w:rPr>
          <w:rFonts w:eastAsia="楷体"/>
          <w:sz w:val="20"/>
        </w:rPr>
        <w:t>Vita</w:t>
      </w:r>
      <w:r>
        <w:rPr>
          <w:rFonts w:eastAsia="楷体"/>
          <w:sz w:val="20"/>
        </w:rPr>
        <w:t>认可的银行确认；如果</w:t>
      </w:r>
      <w:r>
        <w:rPr>
          <w:rFonts w:eastAsia="楷体"/>
          <w:sz w:val="20"/>
        </w:rPr>
        <w:t>Vita</w:t>
      </w:r>
      <w:r>
        <w:rPr>
          <w:rFonts w:eastAsia="楷体"/>
          <w:sz w:val="20"/>
        </w:rPr>
        <w:t>在买方订购表格确认之时或之前书面同意放弃此项要求的，应采用</w:t>
      </w:r>
      <w:r>
        <w:rPr>
          <w:rFonts w:eastAsia="楷体"/>
          <w:sz w:val="20"/>
        </w:rPr>
        <w:t>Vita</w:t>
      </w:r>
      <w:r>
        <w:rPr>
          <w:rFonts w:eastAsia="楷体"/>
          <w:sz w:val="20"/>
        </w:rPr>
        <w:t>认可的其他票据或相当支付方法。</w:t>
      </w:r>
    </w:p>
    <w:p w:rsidR="00681DDD">
      <w:pPr>
        <w:pStyle w:val="Heading1"/>
        <w:keepNext/>
        <w:spacing w:line="276" w:lineRule="auto"/>
        <w:ind w:firstLine="0"/>
        <w:rPr>
          <w:rFonts w:eastAsia="楷体"/>
          <w:color w:val="00A5E7"/>
          <w:sz w:val="20"/>
          <w:u w:val="none"/>
        </w:rPr>
      </w:pPr>
      <w:r>
        <w:rPr>
          <w:rFonts w:eastAsia="楷体"/>
          <w:color w:val="00A5E7"/>
          <w:sz w:val="20"/>
          <w:u w:val="none"/>
        </w:rPr>
        <w:t>检查</w:t>
      </w:r>
      <w:r>
        <w:rPr>
          <w:rFonts w:eastAsia="楷体"/>
          <w:color w:val="00A5E7"/>
          <w:sz w:val="20"/>
          <w:u w:val="none"/>
        </w:rPr>
        <w:t>/</w:t>
      </w:r>
      <w:r>
        <w:rPr>
          <w:rFonts w:eastAsia="楷体"/>
          <w:color w:val="00A5E7"/>
          <w:sz w:val="20"/>
          <w:u w:val="none"/>
        </w:rPr>
        <w:t>短</w:t>
      </w:r>
      <w:r>
        <w:rPr>
          <w:rFonts w:eastAsia="楷体"/>
          <w:color w:val="00A5E7"/>
          <w:sz w:val="20"/>
          <w:u w:val="none"/>
        </w:rPr>
        <w:t>缺</w:t>
      </w:r>
    </w:p>
    <w:p w:rsidR="00681DDD">
      <w:pPr>
        <w:pStyle w:val="Heading2"/>
        <w:keepLines/>
        <w:spacing w:line="276" w:lineRule="auto"/>
        <w:rPr>
          <w:rFonts w:eastAsia="楷体"/>
          <w:sz w:val="20"/>
        </w:rPr>
      </w:pPr>
      <w:r>
        <w:rPr>
          <w:rFonts w:eastAsia="楷体"/>
          <w:sz w:val="20"/>
        </w:rPr>
        <w:t>若根据第</w:t>
      </w:r>
      <w:r>
        <w:rPr>
          <w:rFonts w:eastAsia="楷体"/>
          <w:sz w:val="20"/>
        </w:rPr>
        <w:fldChar w:fldCharType="begin"/>
      </w:r>
      <w:r>
        <w:rPr>
          <w:rFonts w:eastAsia="楷体"/>
          <w:sz w:val="20"/>
        </w:rPr>
        <w:instrText xml:space="preserve"> REF _Ref31574971 \r \h  \* MERGEFORMAT </w:instrText>
      </w:r>
      <w:r>
        <w:rPr>
          <w:rFonts w:eastAsia="楷体"/>
          <w:sz w:val="20"/>
        </w:rPr>
        <w:fldChar w:fldCharType="separate"/>
      </w:r>
      <w:r>
        <w:rPr>
          <w:rFonts w:eastAsia="楷体"/>
          <w:sz w:val="20"/>
        </w:rPr>
        <w:t>10.1.1</w:t>
      </w:r>
      <w:r>
        <w:rPr>
          <w:rFonts w:eastAsia="楷体"/>
          <w:sz w:val="20"/>
        </w:rPr>
        <w:fldChar w:fldCharType="end"/>
      </w:r>
      <w:r>
        <w:rPr>
          <w:rFonts w:eastAsia="楷体"/>
          <w:sz w:val="20"/>
        </w:rPr>
        <w:t>项或第</w:t>
      </w:r>
      <w:r>
        <w:rPr>
          <w:rFonts w:eastAsia="楷体"/>
          <w:sz w:val="20"/>
        </w:rPr>
        <w:fldChar w:fldCharType="begin"/>
      </w:r>
      <w:r>
        <w:rPr>
          <w:rFonts w:eastAsia="楷体"/>
          <w:sz w:val="20"/>
        </w:rPr>
        <w:instrText xml:space="preserve"> REF _Ref31574979 \r \h  \* MERGEFORMAT </w:instrText>
      </w:r>
      <w:r>
        <w:rPr>
          <w:rFonts w:eastAsia="楷体"/>
          <w:sz w:val="20"/>
        </w:rPr>
        <w:fldChar w:fldCharType="separate"/>
      </w:r>
      <w:r>
        <w:rPr>
          <w:rFonts w:eastAsia="楷体"/>
          <w:sz w:val="20"/>
        </w:rPr>
        <w:t>11.3</w:t>
      </w:r>
      <w:r>
        <w:rPr>
          <w:rFonts w:eastAsia="楷体"/>
          <w:sz w:val="20"/>
        </w:rPr>
        <w:fldChar w:fldCharType="end"/>
      </w:r>
      <w:r>
        <w:rPr>
          <w:rFonts w:eastAsia="楷体"/>
          <w:sz w:val="20"/>
        </w:rPr>
        <w:t>项条件交付，买方负责安排在运输前于</w:t>
      </w:r>
      <w:r>
        <w:rPr>
          <w:rFonts w:eastAsia="楷体"/>
          <w:sz w:val="20"/>
        </w:rPr>
        <w:t>Vita</w:t>
      </w:r>
      <w:r>
        <w:rPr>
          <w:rFonts w:eastAsia="楷体"/>
          <w:sz w:val="20"/>
        </w:rPr>
        <w:t>场所</w:t>
      </w:r>
      <w:r>
        <w:rPr>
          <w:rFonts w:eastAsia="楷体"/>
          <w:sz w:val="20"/>
        </w:rPr>
        <w:t>测试、检查商品。若对于检查便可发现的任何商品瑕疵，若在发运或提出主张的，</w:t>
      </w:r>
      <w:r>
        <w:rPr>
          <w:rFonts w:eastAsia="楷体"/>
          <w:sz w:val="20"/>
        </w:rPr>
        <w:t>Vita</w:t>
      </w:r>
      <w:r>
        <w:rPr>
          <w:rFonts w:eastAsia="楷体"/>
          <w:sz w:val="20"/>
        </w:rPr>
        <w:t>无需承担责任；对于运输中的任何损害，</w:t>
      </w:r>
      <w:r>
        <w:rPr>
          <w:rFonts w:eastAsia="楷体"/>
          <w:sz w:val="20"/>
        </w:rPr>
        <w:t>Vita</w:t>
      </w:r>
      <w:r>
        <w:rPr>
          <w:rFonts w:eastAsia="楷体"/>
          <w:sz w:val="20"/>
        </w:rPr>
        <w:t>亦无需承担责任。</w:t>
      </w:r>
    </w:p>
    <w:p w:rsidR="00681DDD">
      <w:pPr>
        <w:pStyle w:val="Heading2"/>
        <w:spacing w:line="276" w:lineRule="auto"/>
        <w:rPr>
          <w:rFonts w:eastAsia="楷体"/>
          <w:sz w:val="20"/>
        </w:rPr>
      </w:pPr>
      <w:r>
        <w:rPr>
          <w:rFonts w:eastAsia="楷体"/>
          <w:sz w:val="20"/>
        </w:rPr>
        <w:t>若根据第</w:t>
      </w:r>
      <w:r>
        <w:rPr>
          <w:rFonts w:eastAsia="楷体"/>
          <w:sz w:val="20"/>
        </w:rPr>
        <w:fldChar w:fldCharType="begin"/>
      </w:r>
      <w:r>
        <w:rPr>
          <w:rFonts w:eastAsia="楷体"/>
          <w:sz w:val="20"/>
        </w:rPr>
        <w:instrText xml:space="preserve"> REF _Ref31576612 \r \h  \* MERGEFORMAT </w:instrText>
      </w:r>
      <w:r>
        <w:rPr>
          <w:rFonts w:eastAsia="楷体"/>
          <w:sz w:val="20"/>
        </w:rPr>
        <w:fldChar w:fldCharType="separate"/>
      </w:r>
      <w:r>
        <w:rPr>
          <w:rFonts w:eastAsia="楷体"/>
          <w:sz w:val="20"/>
        </w:rPr>
        <w:t>10.1.2</w:t>
      </w:r>
      <w:r>
        <w:rPr>
          <w:rFonts w:eastAsia="楷体"/>
          <w:sz w:val="20"/>
        </w:rPr>
        <w:fldChar w:fldCharType="end"/>
      </w:r>
      <w:r>
        <w:rPr>
          <w:rFonts w:eastAsia="楷体"/>
          <w:sz w:val="20"/>
        </w:rPr>
        <w:t>项条件交付，买方有义务尽可能在交付时检查商品。</w:t>
      </w:r>
    </w:p>
    <w:p w:rsidR="00681DDD">
      <w:pPr>
        <w:pStyle w:val="Heading2"/>
        <w:keepNext/>
        <w:spacing w:line="276" w:lineRule="auto"/>
        <w:rPr>
          <w:rFonts w:eastAsia="楷体"/>
          <w:sz w:val="20"/>
        </w:rPr>
      </w:pPr>
      <w:bookmarkStart w:id="14" w:name="_Ref31577107"/>
      <w:bookmarkStart w:id="15" w:name="_Ref519874001"/>
      <w:r>
        <w:rPr>
          <w:rFonts w:eastAsia="楷体"/>
          <w:sz w:val="20"/>
        </w:rPr>
        <w:t>若主张商品未交付或在交付前遭受部分损失或损害，或者主张商品不符合订单，</w:t>
      </w:r>
      <w:r>
        <w:rPr>
          <w:rFonts w:eastAsia="楷体"/>
          <w:sz w:val="20"/>
        </w:rPr>
        <w:t>Vita</w:t>
      </w:r>
      <w:r>
        <w:rPr>
          <w:rFonts w:eastAsia="楷体"/>
          <w:sz w:val="20"/>
        </w:rPr>
        <w:t>无需承担责任</w:t>
      </w:r>
      <w:r>
        <w:rPr>
          <w:rFonts w:eastAsia="楷体"/>
          <w:sz w:val="20"/>
        </w:rPr>
        <w:t>，除非买方将该主张书面通知</w:t>
      </w:r>
      <w:r>
        <w:rPr>
          <w:rFonts w:eastAsia="楷体"/>
          <w:sz w:val="20"/>
        </w:rPr>
        <w:t>Vita</w:t>
      </w:r>
      <w:r>
        <w:rPr>
          <w:rFonts w:eastAsia="楷体"/>
          <w:sz w:val="20"/>
        </w:rPr>
        <w:t>（若主张商品未交付或在交付前遭受部分损失或损害，而未使用</w:t>
      </w:r>
      <w:r>
        <w:rPr>
          <w:rFonts w:eastAsia="楷体"/>
          <w:sz w:val="20"/>
        </w:rPr>
        <w:t>Vita</w:t>
      </w:r>
      <w:r>
        <w:rPr>
          <w:rFonts w:eastAsia="楷体"/>
          <w:sz w:val="20"/>
        </w:rPr>
        <w:t>交通交付商品的，通知还应抄送承运人），具体通知期限如下：</w:t>
      </w:r>
      <w:bookmarkEnd w:id="14"/>
    </w:p>
    <w:p w:rsidR="00681DDD">
      <w:pPr>
        <w:pStyle w:val="Heading3"/>
        <w:tabs>
          <w:tab w:val="num" w:pos="2430"/>
        </w:tabs>
        <w:spacing w:line="276" w:lineRule="auto"/>
        <w:ind w:left="2430" w:hanging="990"/>
        <w:rPr>
          <w:rFonts w:eastAsia="楷体"/>
          <w:sz w:val="20"/>
        </w:rPr>
      </w:pPr>
      <w:bookmarkEnd w:id="15"/>
      <w:r>
        <w:rPr>
          <w:rFonts w:eastAsia="楷体"/>
          <w:sz w:val="20"/>
        </w:rPr>
        <w:t>主张部分损失或损坏或不符合订单的，在交付后七</w:t>
      </w:r>
      <w:r>
        <w:rPr>
          <w:rFonts w:eastAsia="楷体"/>
          <w:sz w:val="20"/>
        </w:rPr>
        <w:t>(7)</w:t>
      </w:r>
      <w:r>
        <w:rPr>
          <w:rFonts w:eastAsia="楷体"/>
          <w:sz w:val="20"/>
        </w:rPr>
        <w:t>日内；</w:t>
      </w:r>
    </w:p>
    <w:p w:rsidR="00681DDD">
      <w:pPr>
        <w:pStyle w:val="Heading3"/>
        <w:tabs>
          <w:tab w:val="num" w:pos="2430"/>
        </w:tabs>
        <w:spacing w:line="276" w:lineRule="auto"/>
        <w:ind w:left="2430" w:hanging="990"/>
        <w:rPr>
          <w:rFonts w:eastAsia="楷体"/>
          <w:sz w:val="20"/>
        </w:rPr>
      </w:pPr>
      <w:r>
        <w:rPr>
          <w:rFonts w:eastAsia="楷体"/>
          <w:sz w:val="20"/>
        </w:rPr>
        <w:t>主张未交付的，在账单日期十四</w:t>
      </w:r>
      <w:r>
        <w:rPr>
          <w:rFonts w:eastAsia="楷体"/>
          <w:sz w:val="20"/>
        </w:rPr>
        <w:t>(14)</w:t>
      </w:r>
      <w:r>
        <w:rPr>
          <w:rFonts w:eastAsia="楷体"/>
          <w:sz w:val="20"/>
        </w:rPr>
        <w:t>日内。</w:t>
      </w:r>
    </w:p>
    <w:p w:rsidR="00681DDD">
      <w:pPr>
        <w:pStyle w:val="Heading2"/>
        <w:spacing w:line="276" w:lineRule="auto"/>
        <w:rPr>
          <w:rFonts w:eastAsia="楷体"/>
          <w:sz w:val="20"/>
        </w:rPr>
      </w:pPr>
      <w:r>
        <w:rPr>
          <w:rFonts w:eastAsia="楷体"/>
          <w:sz w:val="20"/>
        </w:rPr>
        <w:t>若主张未交付、部分损失或损害成立，</w:t>
      </w:r>
      <w:r>
        <w:rPr>
          <w:rFonts w:eastAsia="楷体"/>
          <w:sz w:val="20"/>
        </w:rPr>
        <w:t>Vita</w:t>
      </w:r>
      <w:r>
        <w:rPr>
          <w:rFonts w:eastAsia="楷体"/>
          <w:sz w:val="20"/>
        </w:rPr>
        <w:t>承诺自行决定自担费用重新处理或替换商品，但无需就该未交付、部分损失或损坏或不符合订单的情形，向任何人承任何进一步责任或其他责任。</w:t>
      </w:r>
    </w:p>
    <w:p w:rsidR="00681DDD">
      <w:pPr>
        <w:pStyle w:val="Heading2"/>
        <w:spacing w:line="276" w:lineRule="auto"/>
        <w:rPr>
          <w:rFonts w:eastAsia="楷体"/>
          <w:sz w:val="20"/>
        </w:rPr>
      </w:pPr>
      <w:r>
        <w:rPr>
          <w:rFonts w:eastAsia="楷体"/>
          <w:sz w:val="20"/>
        </w:rPr>
        <w:t>若买方未根据以上第</w:t>
      </w:r>
      <w:r>
        <w:rPr>
          <w:rFonts w:eastAsia="楷体"/>
          <w:sz w:val="20"/>
        </w:rPr>
        <w:fldChar w:fldCharType="begin"/>
      </w:r>
      <w:r>
        <w:rPr>
          <w:rFonts w:eastAsia="楷体"/>
          <w:sz w:val="20"/>
        </w:rPr>
        <w:instrText xml:space="preserve"> REF _Ref31577107 \r \h  \* MERG</w:instrText>
      </w:r>
      <w:r>
        <w:rPr>
          <w:rFonts w:eastAsia="楷体"/>
          <w:sz w:val="20"/>
        </w:rPr>
        <w:instrText xml:space="preserve">EFORMAT </w:instrText>
      </w:r>
      <w:r>
        <w:rPr>
          <w:rFonts w:eastAsia="楷体"/>
          <w:sz w:val="20"/>
        </w:rPr>
        <w:fldChar w:fldCharType="separate"/>
      </w:r>
      <w:r>
        <w:rPr>
          <w:rFonts w:eastAsia="楷体"/>
          <w:sz w:val="20"/>
        </w:rPr>
        <w:t>12.3</w:t>
      </w:r>
      <w:r>
        <w:rPr>
          <w:rFonts w:eastAsia="楷体"/>
          <w:sz w:val="20"/>
        </w:rPr>
        <w:fldChar w:fldCharType="end"/>
      </w:r>
      <w:r>
        <w:rPr>
          <w:rFonts w:eastAsia="楷体"/>
          <w:sz w:val="20"/>
        </w:rPr>
        <w:t>项条件发通知，商品视为完全符合订单，买方应当相应接受商品并付款。</w:t>
      </w:r>
    </w:p>
    <w:p w:rsidR="00681DDD">
      <w:pPr>
        <w:pStyle w:val="Heading1"/>
        <w:keepNext/>
        <w:spacing w:line="276" w:lineRule="auto"/>
        <w:ind w:firstLine="0"/>
        <w:rPr>
          <w:rFonts w:eastAsia="楷体"/>
          <w:color w:val="00A5E7"/>
          <w:sz w:val="20"/>
          <w:u w:val="none"/>
        </w:rPr>
      </w:pPr>
      <w:r>
        <w:rPr>
          <w:rFonts w:eastAsia="楷体"/>
          <w:color w:val="00A5E7"/>
          <w:sz w:val="20"/>
          <w:u w:val="none"/>
        </w:rPr>
        <w:t>风险与财产权</w:t>
      </w:r>
    </w:p>
    <w:p w:rsidR="00681DDD">
      <w:pPr>
        <w:pStyle w:val="Heading2"/>
        <w:keepNext/>
        <w:spacing w:line="276" w:lineRule="auto"/>
        <w:rPr>
          <w:rFonts w:eastAsia="楷体"/>
          <w:sz w:val="20"/>
        </w:rPr>
      </w:pPr>
      <w:r>
        <w:rPr>
          <w:rFonts w:eastAsia="楷体"/>
          <w:sz w:val="20"/>
        </w:rPr>
        <w:t>商品的损坏或损失风险按以下约定转移至买方：</w:t>
      </w:r>
    </w:p>
    <w:p w:rsidR="00681DDD">
      <w:pPr>
        <w:pStyle w:val="Heading3"/>
        <w:tabs>
          <w:tab w:val="num" w:pos="2160"/>
        </w:tabs>
        <w:spacing w:line="276" w:lineRule="auto"/>
        <w:ind w:left="2160" w:hanging="720"/>
        <w:rPr>
          <w:rFonts w:eastAsia="楷体"/>
          <w:sz w:val="20"/>
        </w:rPr>
      </w:pPr>
      <w:r>
        <w:rPr>
          <w:rFonts w:eastAsia="楷体"/>
          <w:sz w:val="20"/>
        </w:rPr>
        <w:t>商品在</w:t>
      </w:r>
      <w:r>
        <w:rPr>
          <w:rFonts w:eastAsia="楷体"/>
          <w:sz w:val="20"/>
        </w:rPr>
        <w:t>Vita</w:t>
      </w:r>
      <w:r>
        <w:rPr>
          <w:rFonts w:eastAsia="楷体"/>
          <w:sz w:val="20"/>
        </w:rPr>
        <w:t>场所交付的，于</w:t>
      </w:r>
      <w:r>
        <w:rPr>
          <w:rFonts w:eastAsia="楷体"/>
          <w:sz w:val="20"/>
        </w:rPr>
        <w:t>Vita</w:t>
      </w:r>
      <w:r>
        <w:rPr>
          <w:rFonts w:eastAsia="楷体"/>
          <w:sz w:val="20"/>
        </w:rPr>
        <w:t>告知买方商品可以收货时；</w:t>
      </w:r>
    </w:p>
    <w:p w:rsidR="00681DDD">
      <w:pPr>
        <w:pStyle w:val="Heading3"/>
        <w:tabs>
          <w:tab w:val="num" w:pos="2160"/>
        </w:tabs>
        <w:spacing w:line="276" w:lineRule="auto"/>
        <w:ind w:left="2160" w:hanging="720"/>
        <w:rPr>
          <w:rFonts w:eastAsia="楷体"/>
          <w:sz w:val="20"/>
        </w:rPr>
      </w:pPr>
      <w:r>
        <w:rPr>
          <w:rFonts w:eastAsia="楷体"/>
          <w:sz w:val="20"/>
        </w:rPr>
        <w:t>商品在非</w:t>
      </w:r>
      <w:r>
        <w:rPr>
          <w:rFonts w:eastAsia="楷体"/>
          <w:sz w:val="20"/>
        </w:rPr>
        <w:t>Vita</w:t>
      </w:r>
      <w:r>
        <w:rPr>
          <w:rFonts w:eastAsia="楷体"/>
          <w:sz w:val="20"/>
        </w:rPr>
        <w:t>场所交付的，于交付时（如果买方错误地未能接受交付的，于</w:t>
      </w:r>
      <w:r>
        <w:rPr>
          <w:rFonts w:eastAsia="楷体"/>
          <w:sz w:val="20"/>
        </w:rPr>
        <w:t>Vita</w:t>
      </w:r>
      <w:r>
        <w:rPr>
          <w:rFonts w:eastAsia="楷体"/>
          <w:sz w:val="20"/>
        </w:rPr>
        <w:t>已经提出交付商品时）。</w:t>
      </w:r>
    </w:p>
    <w:p w:rsidR="00681DDD">
      <w:pPr>
        <w:pStyle w:val="Heading2"/>
        <w:spacing w:line="276" w:lineRule="auto"/>
        <w:rPr>
          <w:rFonts w:eastAsia="楷体"/>
          <w:sz w:val="20"/>
        </w:rPr>
      </w:pPr>
      <w:r>
        <w:rPr>
          <w:rFonts w:eastAsia="楷体"/>
          <w:sz w:val="20"/>
        </w:rPr>
        <w:t>即便商品已经交付且风险已经转移，或者即便条件任何其他条款另有约定，商品的所有权和财产权（包括完整的法定和受益所有权），在</w:t>
      </w:r>
      <w:r>
        <w:rPr>
          <w:rFonts w:eastAsia="楷体"/>
          <w:sz w:val="20"/>
        </w:rPr>
        <w:t>Vita</w:t>
      </w:r>
      <w:r>
        <w:rPr>
          <w:rFonts w:eastAsia="楷体"/>
          <w:sz w:val="20"/>
        </w:rPr>
        <w:t>收到双方当前订单和所有其他订单（订单下商品全款尚未支付）下已交付买方的所有商品的现金或清洁资金全款之前，不转移至买方。支付商品全款包括根据双方当前和所有其他订单条款（指商品已交付者）应当支付的任何利息和其他金额。</w:t>
      </w:r>
    </w:p>
    <w:p w:rsidR="00681DDD">
      <w:pPr>
        <w:pStyle w:val="Heading2"/>
        <w:keepNext/>
        <w:spacing w:line="276" w:lineRule="auto"/>
        <w:rPr>
          <w:rFonts w:eastAsia="楷体"/>
          <w:sz w:val="20"/>
        </w:rPr>
      </w:pPr>
      <w:bookmarkStart w:id="16" w:name="_Ref31578186"/>
      <w:bookmarkStart w:id="17" w:name="_Ref519874010"/>
      <w:r>
        <w:rPr>
          <w:rFonts w:eastAsia="楷体"/>
          <w:sz w:val="20"/>
        </w:rPr>
        <w:t>直至商品财产权转移至买方，买方均应：</w:t>
      </w:r>
      <w:bookmarkEnd w:id="16"/>
    </w:p>
    <w:p w:rsidR="00681DDD">
      <w:pPr>
        <w:pStyle w:val="Heading3"/>
        <w:tabs>
          <w:tab w:val="num" w:pos="2160"/>
        </w:tabs>
        <w:spacing w:line="276" w:lineRule="auto"/>
        <w:ind w:left="2160" w:hanging="720"/>
        <w:rPr>
          <w:rFonts w:eastAsia="楷体"/>
          <w:sz w:val="20"/>
        </w:rPr>
      </w:pPr>
      <w:bookmarkEnd w:id="17"/>
      <w:r>
        <w:rPr>
          <w:rFonts w:eastAsia="楷体"/>
          <w:sz w:val="20"/>
        </w:rPr>
        <w:t>以</w:t>
      </w:r>
      <w:r>
        <w:rPr>
          <w:rFonts w:eastAsia="楷体"/>
          <w:sz w:val="20"/>
        </w:rPr>
        <w:t>Vita</w:t>
      </w:r>
      <w:r>
        <w:rPr>
          <w:rFonts w:eastAsia="楷体"/>
          <w:sz w:val="20"/>
        </w:rPr>
        <w:t>信托代理人和受托人身份持有商品；</w:t>
      </w:r>
    </w:p>
    <w:p w:rsidR="00681DDD">
      <w:pPr>
        <w:pStyle w:val="Heading3"/>
        <w:tabs>
          <w:tab w:val="num" w:pos="2160"/>
        </w:tabs>
        <w:spacing w:line="276" w:lineRule="auto"/>
        <w:ind w:left="2160" w:hanging="720"/>
        <w:rPr>
          <w:rFonts w:eastAsia="楷体"/>
          <w:sz w:val="20"/>
        </w:rPr>
      </w:pPr>
      <w:r>
        <w:rPr>
          <w:rFonts w:eastAsia="楷体"/>
          <w:sz w:val="20"/>
        </w:rPr>
        <w:t>将商品与买方和其他方的商品分开存放，并应妥为存放、保护，并标注为</w:t>
      </w:r>
      <w:r>
        <w:rPr>
          <w:rFonts w:eastAsia="楷体"/>
          <w:sz w:val="20"/>
        </w:rPr>
        <w:t>Vita</w:t>
      </w:r>
      <w:r>
        <w:rPr>
          <w:rFonts w:eastAsia="楷体"/>
          <w:sz w:val="20"/>
        </w:rPr>
        <w:t>财产；</w:t>
      </w:r>
    </w:p>
    <w:p w:rsidR="00681DDD">
      <w:pPr>
        <w:pStyle w:val="Heading3"/>
        <w:tabs>
          <w:tab w:val="num" w:pos="2160"/>
        </w:tabs>
        <w:spacing w:line="276" w:lineRule="auto"/>
        <w:ind w:left="2160" w:hanging="720"/>
        <w:rPr>
          <w:rFonts w:eastAsia="楷体"/>
          <w:sz w:val="20"/>
        </w:rPr>
      </w:pPr>
      <w:r>
        <w:rPr>
          <w:rFonts w:eastAsia="楷体"/>
          <w:sz w:val="20"/>
        </w:rPr>
        <w:t>不得销毁或模糊商品上或有关商品的标记或包装；并且</w:t>
      </w:r>
    </w:p>
    <w:p w:rsidR="00681DDD">
      <w:pPr>
        <w:pStyle w:val="Heading3"/>
        <w:tabs>
          <w:tab w:val="num" w:pos="2160"/>
        </w:tabs>
        <w:spacing w:line="276" w:lineRule="auto"/>
        <w:ind w:left="2160" w:hanging="720"/>
        <w:rPr>
          <w:rFonts w:eastAsia="楷体"/>
          <w:sz w:val="20"/>
        </w:rPr>
      </w:pPr>
      <w:r>
        <w:rPr>
          <w:rFonts w:eastAsia="楷体"/>
          <w:sz w:val="20"/>
        </w:rPr>
        <w:t>将商品保持令人满意的状态，并代表</w:t>
      </w:r>
      <w:r>
        <w:rPr>
          <w:rFonts w:eastAsia="楷体"/>
          <w:sz w:val="20"/>
        </w:rPr>
        <w:t>Vita</w:t>
      </w:r>
      <w:r>
        <w:rPr>
          <w:rFonts w:eastAsia="楷体"/>
          <w:sz w:val="20"/>
        </w:rPr>
        <w:t>按全价为商品投保一切险，并得到</w:t>
      </w:r>
      <w:r>
        <w:rPr>
          <w:rFonts w:eastAsia="楷体"/>
          <w:sz w:val="20"/>
        </w:rPr>
        <w:t>Vita</w:t>
      </w:r>
      <w:r>
        <w:rPr>
          <w:rFonts w:eastAsia="楷体"/>
          <w:sz w:val="20"/>
        </w:rPr>
        <w:t>认可。买方应在接到要求后向</w:t>
      </w:r>
      <w:r>
        <w:rPr>
          <w:rFonts w:eastAsia="楷体"/>
          <w:sz w:val="20"/>
        </w:rPr>
        <w:t>Vita</w:t>
      </w:r>
      <w:r>
        <w:rPr>
          <w:rFonts w:eastAsia="楷体"/>
          <w:sz w:val="20"/>
        </w:rPr>
        <w:t>出示保险凭证。</w:t>
      </w:r>
    </w:p>
    <w:p w:rsidR="00681DDD">
      <w:pPr>
        <w:pStyle w:val="Heading2"/>
        <w:spacing w:line="276" w:lineRule="auto"/>
        <w:rPr>
          <w:rFonts w:eastAsia="楷体"/>
          <w:sz w:val="20"/>
        </w:rPr>
      </w:pPr>
      <w:r>
        <w:rPr>
          <w:rFonts w:eastAsia="楷体"/>
          <w:sz w:val="20"/>
        </w:rPr>
        <w:t>即便有第</w:t>
      </w:r>
      <w:r>
        <w:rPr>
          <w:rFonts w:eastAsia="楷体"/>
          <w:sz w:val="20"/>
        </w:rPr>
        <w:fldChar w:fldCharType="begin"/>
      </w:r>
      <w:r>
        <w:rPr>
          <w:rFonts w:eastAsia="楷体"/>
          <w:sz w:val="20"/>
        </w:rPr>
        <w:instrText xml:space="preserve"> REF _Ref31578186 \r \h  \* MERGEFORMAT </w:instrText>
      </w:r>
      <w:r>
        <w:rPr>
          <w:rFonts w:eastAsia="楷体"/>
          <w:sz w:val="20"/>
        </w:rPr>
        <w:fldChar w:fldCharType="separate"/>
      </w:r>
      <w:r>
        <w:rPr>
          <w:rFonts w:eastAsia="楷体"/>
          <w:sz w:val="20"/>
        </w:rPr>
        <w:t>13.3</w:t>
      </w:r>
      <w:r>
        <w:rPr>
          <w:rFonts w:eastAsia="楷体"/>
          <w:sz w:val="20"/>
        </w:rPr>
        <w:fldChar w:fldCharType="end"/>
      </w:r>
      <w:r>
        <w:rPr>
          <w:rFonts w:eastAsia="楷体"/>
          <w:sz w:val="20"/>
        </w:rPr>
        <w:t>项条件之约定，买方可在正常业务过程中按商品市场全值转售商品或使用商品。</w:t>
      </w:r>
    </w:p>
    <w:p w:rsidR="00681DDD">
      <w:pPr>
        <w:pStyle w:val="Heading2"/>
        <w:spacing w:line="276" w:lineRule="auto"/>
        <w:rPr>
          <w:rFonts w:eastAsia="楷体"/>
          <w:sz w:val="20"/>
        </w:rPr>
      </w:pPr>
      <w:bookmarkStart w:id="18" w:name="_Ref519873891"/>
      <w:r>
        <w:rPr>
          <w:rFonts w:eastAsia="楷体"/>
          <w:sz w:val="20"/>
        </w:rPr>
        <w:t>直至商品财产权转移至买方（前提是商</w:t>
      </w:r>
      <w:r>
        <w:rPr>
          <w:rFonts w:eastAsia="楷体"/>
          <w:sz w:val="20"/>
        </w:rPr>
        <w:t>品仍然存在，尚未转售）时，</w:t>
      </w:r>
      <w:r>
        <w:rPr>
          <w:rFonts w:eastAsia="楷体"/>
          <w:sz w:val="20"/>
        </w:rPr>
        <w:t>Vita</w:t>
      </w:r>
      <w:r>
        <w:rPr>
          <w:rFonts w:eastAsia="楷体"/>
          <w:sz w:val="20"/>
        </w:rPr>
        <w:t>可随时要求买方将商品全部交付至</w:t>
      </w:r>
      <w:r>
        <w:rPr>
          <w:rFonts w:eastAsia="楷体"/>
          <w:sz w:val="20"/>
        </w:rPr>
        <w:t>Vita</w:t>
      </w:r>
      <w:r>
        <w:rPr>
          <w:rFonts w:eastAsia="楷体"/>
          <w:sz w:val="20"/>
        </w:rPr>
        <w:t>，并且若买方未立即照此办理，买方视为不可撤消地授权</w:t>
      </w:r>
      <w:r>
        <w:rPr>
          <w:rFonts w:eastAsia="楷体"/>
          <w:sz w:val="20"/>
        </w:rPr>
        <w:t>Vita</w:t>
      </w:r>
      <w:r>
        <w:rPr>
          <w:rFonts w:eastAsia="楷体"/>
          <w:sz w:val="20"/>
        </w:rPr>
        <w:t>进入任何买方场所或者商品仓储所在的任何第三方场所，重新占有商品。</w:t>
      </w:r>
    </w:p>
    <w:p w:rsidR="00681DDD">
      <w:pPr>
        <w:pStyle w:val="Heading2"/>
        <w:spacing w:line="276" w:lineRule="auto"/>
        <w:rPr>
          <w:rFonts w:eastAsia="楷体"/>
          <w:sz w:val="20"/>
        </w:rPr>
      </w:pPr>
      <w:r>
        <w:rPr>
          <w:rFonts w:eastAsia="楷体"/>
          <w:sz w:val="20"/>
        </w:rPr>
        <w:t>买方无权质押或以任何方式抵押仍然属于</w:t>
      </w:r>
      <w:r>
        <w:rPr>
          <w:rFonts w:eastAsia="楷体"/>
          <w:sz w:val="20"/>
        </w:rPr>
        <w:t>Vita</w:t>
      </w:r>
      <w:r>
        <w:rPr>
          <w:rFonts w:eastAsia="楷体"/>
          <w:sz w:val="20"/>
        </w:rPr>
        <w:t>财产的商品，未任何债务担保，但如果买方确已质押或抵押的，买方应立即向</w:t>
      </w:r>
      <w:r>
        <w:rPr>
          <w:rFonts w:eastAsia="楷体"/>
          <w:sz w:val="20"/>
        </w:rPr>
        <w:t>Vita</w:t>
      </w:r>
      <w:r>
        <w:rPr>
          <w:rFonts w:eastAsia="楷体"/>
          <w:sz w:val="20"/>
        </w:rPr>
        <w:t>偿还所有对</w:t>
      </w:r>
      <w:r>
        <w:rPr>
          <w:rFonts w:eastAsia="楷体"/>
          <w:sz w:val="20"/>
        </w:rPr>
        <w:t>Vita</w:t>
      </w:r>
      <w:r>
        <w:rPr>
          <w:rFonts w:eastAsia="楷体"/>
          <w:sz w:val="20"/>
        </w:rPr>
        <w:t>欠款（同时不限制</w:t>
      </w:r>
      <w:r>
        <w:rPr>
          <w:rFonts w:eastAsia="楷体"/>
          <w:sz w:val="20"/>
        </w:rPr>
        <w:t>Vita</w:t>
      </w:r>
      <w:r>
        <w:rPr>
          <w:rFonts w:eastAsia="楷体"/>
          <w:sz w:val="20"/>
        </w:rPr>
        <w:t>的任何其他权利或救济）。</w:t>
      </w:r>
    </w:p>
    <w:p w:rsidR="00681DDD">
      <w:pPr>
        <w:pStyle w:val="Heading2"/>
        <w:spacing w:line="276" w:lineRule="auto"/>
        <w:rPr>
          <w:rFonts w:eastAsia="楷体"/>
          <w:sz w:val="20"/>
        </w:rPr>
      </w:pPr>
      <w:r>
        <w:rPr>
          <w:rFonts w:eastAsia="楷体"/>
          <w:sz w:val="20"/>
        </w:rPr>
        <w:t>即便商品财产权尚未转移至买方，</w:t>
      </w:r>
      <w:r>
        <w:rPr>
          <w:rFonts w:eastAsia="楷体"/>
          <w:sz w:val="20"/>
        </w:rPr>
        <w:t>Vita</w:t>
      </w:r>
      <w:r>
        <w:rPr>
          <w:rFonts w:eastAsia="楷体"/>
          <w:sz w:val="20"/>
        </w:rPr>
        <w:t>有权收取商品货款。</w:t>
      </w:r>
    </w:p>
    <w:p w:rsidR="00681DDD">
      <w:pPr>
        <w:pStyle w:val="Heading2"/>
        <w:spacing w:line="276" w:lineRule="auto"/>
        <w:rPr>
          <w:rFonts w:eastAsia="楷体"/>
          <w:sz w:val="20"/>
        </w:rPr>
      </w:pPr>
      <w:bookmarkStart w:id="19" w:name="_Ref31580802"/>
      <w:bookmarkEnd w:id="18"/>
      <w:r>
        <w:rPr>
          <w:rFonts w:eastAsia="楷体"/>
          <w:sz w:val="20"/>
        </w:rPr>
        <w:t>若有以下情形，买方占有商品的权利立即终止：</w:t>
      </w:r>
      <w:bookmarkEnd w:id="19"/>
    </w:p>
    <w:p w:rsidR="00681DDD">
      <w:pPr>
        <w:pStyle w:val="Heading3"/>
        <w:tabs>
          <w:tab w:val="num" w:pos="2160"/>
        </w:tabs>
        <w:spacing w:line="276" w:lineRule="auto"/>
        <w:ind w:left="2160" w:hanging="720"/>
        <w:rPr>
          <w:rFonts w:eastAsia="楷体"/>
          <w:sz w:val="20"/>
        </w:rPr>
      </w:pPr>
      <w:r>
        <w:rPr>
          <w:rFonts w:eastAsia="楷体"/>
          <w:sz w:val="20"/>
        </w:rPr>
        <w:t>买方发生资不抵债事件；</w:t>
      </w:r>
    </w:p>
    <w:p w:rsidR="00681DDD">
      <w:pPr>
        <w:pStyle w:val="Heading3"/>
        <w:tabs>
          <w:tab w:val="num" w:pos="2160"/>
        </w:tabs>
        <w:spacing w:line="276" w:lineRule="auto"/>
        <w:ind w:left="2160" w:hanging="720"/>
        <w:rPr>
          <w:rFonts w:eastAsia="楷体"/>
          <w:sz w:val="20"/>
        </w:rPr>
      </w:pPr>
      <w:r>
        <w:rPr>
          <w:rFonts w:eastAsia="楷体"/>
          <w:sz w:val="20"/>
        </w:rPr>
        <w:t>买</w:t>
      </w:r>
      <w:r>
        <w:rPr>
          <w:rFonts w:eastAsia="楷体"/>
          <w:sz w:val="20"/>
        </w:rPr>
        <w:t>方停止或威胁停止从事贸易；或</w:t>
      </w:r>
    </w:p>
    <w:p w:rsidR="00681DDD">
      <w:pPr>
        <w:pStyle w:val="Heading3"/>
        <w:tabs>
          <w:tab w:val="num" w:pos="2160"/>
        </w:tabs>
        <w:spacing w:line="276" w:lineRule="auto"/>
        <w:ind w:left="2160" w:hanging="720"/>
        <w:rPr>
          <w:rFonts w:eastAsia="楷体"/>
          <w:sz w:val="20"/>
        </w:rPr>
      </w:pPr>
      <w:r>
        <w:rPr>
          <w:rFonts w:eastAsia="楷体"/>
          <w:sz w:val="20"/>
        </w:rPr>
        <w:t>买方在任何商品上设置权利负担或以任何方式抵押任何商品。</w:t>
      </w:r>
    </w:p>
    <w:p w:rsidR="00681DDD">
      <w:pPr>
        <w:pStyle w:val="Heading2"/>
        <w:spacing w:line="276" w:lineRule="auto"/>
        <w:rPr>
          <w:rFonts w:eastAsia="楷体"/>
          <w:sz w:val="20"/>
        </w:rPr>
      </w:pPr>
      <w:r>
        <w:rPr>
          <w:rFonts w:eastAsia="楷体"/>
          <w:sz w:val="20"/>
        </w:rPr>
        <w:t>若</w:t>
      </w:r>
      <w:r>
        <w:rPr>
          <w:rFonts w:eastAsia="楷体"/>
          <w:sz w:val="20"/>
        </w:rPr>
        <w:t>Vita</w:t>
      </w:r>
      <w:r>
        <w:rPr>
          <w:rFonts w:eastAsia="楷体"/>
          <w:sz w:val="20"/>
        </w:rPr>
        <w:t>无法确定买方是否已无权占有任何商品，买方视为已按</w:t>
      </w:r>
      <w:r>
        <w:rPr>
          <w:rFonts w:eastAsia="楷体"/>
          <w:sz w:val="20"/>
        </w:rPr>
        <w:t>Vita</w:t>
      </w:r>
      <w:r>
        <w:rPr>
          <w:rFonts w:eastAsia="楷体"/>
          <w:sz w:val="20"/>
        </w:rPr>
        <w:t>向买方开账的顺序，售出</w:t>
      </w:r>
      <w:r>
        <w:rPr>
          <w:rFonts w:eastAsia="楷体"/>
          <w:sz w:val="20"/>
        </w:rPr>
        <w:t>Vita</w:t>
      </w:r>
      <w:r>
        <w:rPr>
          <w:rFonts w:eastAsia="楷体"/>
          <w:sz w:val="20"/>
        </w:rPr>
        <w:t>向买方出售的类别的所有商品。</w:t>
      </w:r>
    </w:p>
    <w:p w:rsidR="00681DDD">
      <w:pPr>
        <w:pStyle w:val="Heading1"/>
        <w:keepNext/>
        <w:spacing w:line="276" w:lineRule="auto"/>
        <w:ind w:firstLine="0"/>
        <w:rPr>
          <w:rFonts w:eastAsia="楷体"/>
          <w:color w:val="00A5E7"/>
          <w:sz w:val="20"/>
          <w:u w:val="none"/>
        </w:rPr>
      </w:pPr>
      <w:r>
        <w:rPr>
          <w:rFonts w:eastAsia="楷体"/>
          <w:color w:val="00A5E7"/>
          <w:sz w:val="20"/>
          <w:u w:val="none"/>
        </w:rPr>
        <w:t>订单停止执行</w:t>
      </w:r>
    </w:p>
    <w:p w:rsidR="00681DDD">
      <w:pPr>
        <w:pStyle w:val="Heading2"/>
        <w:numPr>
          <w:ilvl w:val="0"/>
          <w:numId w:val="0"/>
        </w:numPr>
        <w:tabs>
          <w:tab w:val="left" w:pos="420"/>
        </w:tabs>
        <w:spacing w:line="276" w:lineRule="auto"/>
        <w:ind w:left="1440"/>
        <w:rPr>
          <w:rFonts w:eastAsia="楷体"/>
          <w:sz w:val="20"/>
        </w:rPr>
      </w:pPr>
      <w:r>
        <w:rPr>
          <w:rFonts w:eastAsia="楷体"/>
          <w:sz w:val="20"/>
        </w:rPr>
        <w:t>若</w:t>
      </w:r>
      <w:r>
        <w:rPr>
          <w:rFonts w:eastAsia="楷体"/>
          <w:sz w:val="20"/>
        </w:rPr>
        <w:t>(</w:t>
      </w:r>
      <w:r>
        <w:rPr>
          <w:rFonts w:eastAsia="楷体"/>
          <w:sz w:val="20"/>
        </w:rPr>
        <w:t>i</w:t>
      </w:r>
      <w:r>
        <w:rPr>
          <w:rFonts w:eastAsia="楷体"/>
          <w:sz w:val="20"/>
        </w:rPr>
        <w:t>) </w:t>
      </w:r>
      <w:r>
        <w:rPr>
          <w:rFonts w:eastAsia="楷体"/>
          <w:sz w:val="20"/>
        </w:rPr>
        <w:t>买方未接受商品或任何一批次（或一批次中一部分）商品；或</w:t>
      </w:r>
      <w:r>
        <w:rPr>
          <w:rFonts w:eastAsia="楷体"/>
          <w:sz w:val="20"/>
        </w:rPr>
        <w:t>(ii)</w:t>
      </w:r>
      <w:r>
        <w:rPr>
          <w:rFonts w:eastAsia="楷体"/>
          <w:sz w:val="20"/>
        </w:rPr>
        <w:t>买方未向</w:t>
      </w:r>
      <w:r>
        <w:rPr>
          <w:rFonts w:eastAsia="楷体"/>
          <w:sz w:val="20"/>
        </w:rPr>
        <w:t>Vita</w:t>
      </w:r>
      <w:r>
        <w:rPr>
          <w:rFonts w:eastAsia="楷体"/>
          <w:sz w:val="20"/>
        </w:rPr>
        <w:t>支付任何到期款项；或</w:t>
      </w:r>
      <w:r>
        <w:rPr>
          <w:rFonts w:eastAsia="楷体"/>
          <w:sz w:val="20"/>
        </w:rPr>
        <w:t>(iii)</w:t>
      </w:r>
      <w:r>
        <w:rPr>
          <w:rFonts w:eastAsia="楷体"/>
          <w:sz w:val="20"/>
        </w:rPr>
        <w:t>出现第</w:t>
      </w:r>
      <w:r>
        <w:rPr>
          <w:rFonts w:eastAsia="楷体"/>
          <w:sz w:val="20"/>
        </w:rPr>
        <w:fldChar w:fldCharType="begin"/>
      </w:r>
      <w:r>
        <w:rPr>
          <w:rFonts w:eastAsia="楷体"/>
          <w:sz w:val="20"/>
        </w:rPr>
        <w:instrText xml:space="preserve"> REF _Ref31580802 \r \h  \* MERGEFORMAT </w:instrText>
      </w:r>
      <w:r>
        <w:rPr>
          <w:rFonts w:eastAsia="楷体"/>
          <w:sz w:val="20"/>
        </w:rPr>
        <w:fldChar w:fldCharType="separate"/>
      </w:r>
      <w:r>
        <w:rPr>
          <w:rFonts w:eastAsia="楷体"/>
          <w:sz w:val="20"/>
        </w:rPr>
        <w:t>13.8</w:t>
      </w:r>
      <w:r>
        <w:rPr>
          <w:rFonts w:eastAsia="楷体"/>
          <w:sz w:val="20"/>
        </w:rPr>
        <w:fldChar w:fldCharType="end"/>
      </w:r>
      <w:r>
        <w:rPr>
          <w:rFonts w:eastAsia="楷体"/>
          <w:sz w:val="20"/>
        </w:rPr>
        <w:t>项条件所述任何事件；或</w:t>
      </w:r>
      <w:r>
        <w:rPr>
          <w:rFonts w:eastAsia="楷体"/>
          <w:sz w:val="20"/>
        </w:rPr>
        <w:t>(iv) Vita</w:t>
      </w:r>
      <w:r>
        <w:rPr>
          <w:rFonts w:eastAsia="楷体"/>
          <w:sz w:val="20"/>
        </w:rPr>
        <w:t>合理担心将出现于买方有关的第</w:t>
      </w:r>
      <w:r>
        <w:rPr>
          <w:rFonts w:eastAsia="楷体"/>
          <w:sz w:val="20"/>
        </w:rPr>
        <w:fldChar w:fldCharType="begin"/>
      </w:r>
      <w:r>
        <w:rPr>
          <w:rFonts w:eastAsia="楷体"/>
          <w:sz w:val="20"/>
        </w:rPr>
        <w:instrText xml:space="preserve"> REF _Ref31580802 \r \h  \* MERGEFORMAT </w:instrText>
      </w:r>
      <w:r>
        <w:rPr>
          <w:rFonts w:eastAsia="楷体"/>
          <w:sz w:val="20"/>
        </w:rPr>
        <w:fldChar w:fldCharType="separate"/>
      </w:r>
      <w:r>
        <w:rPr>
          <w:rFonts w:eastAsia="楷体"/>
          <w:sz w:val="20"/>
        </w:rPr>
        <w:t>13.8</w:t>
      </w:r>
      <w:r>
        <w:rPr>
          <w:rFonts w:eastAsia="楷体"/>
          <w:sz w:val="20"/>
        </w:rPr>
        <w:fldChar w:fldCharType="end"/>
      </w:r>
      <w:r>
        <w:rPr>
          <w:rFonts w:eastAsia="楷体"/>
          <w:sz w:val="20"/>
        </w:rPr>
        <w:t>项条件所述任何事件，并相应通知买方，则</w:t>
      </w:r>
      <w:r>
        <w:rPr>
          <w:rFonts w:eastAsia="楷体"/>
          <w:sz w:val="20"/>
        </w:rPr>
        <w:t>Vita</w:t>
      </w:r>
      <w:r>
        <w:rPr>
          <w:rFonts w:eastAsia="楷体"/>
          <w:sz w:val="20"/>
        </w:rPr>
        <w:t>可自主决定立即书面部分或全部终止双方之间任何订单（但任何其他权利或权利主张不受损害），或可立即书面通知暂停进一步交付商品</w:t>
      </w:r>
      <w:r>
        <w:rPr>
          <w:rFonts w:eastAsia="楷体"/>
          <w:sz w:val="20"/>
        </w:rPr>
        <w:t>（但</w:t>
      </w:r>
      <w:r>
        <w:rPr>
          <w:rFonts w:eastAsia="楷体"/>
          <w:sz w:val="20"/>
        </w:rPr>
        <w:t>Vita</w:t>
      </w:r>
      <w:r>
        <w:rPr>
          <w:rFonts w:eastAsia="楷体"/>
          <w:sz w:val="20"/>
        </w:rPr>
        <w:t>此后决定因相同原因终止订单的权利不受损害），无需向买方承担责任，直至买方违约得到救济；并且，若商品已交付但未付款，即便之前有任何相反约定或安排，商品价格仍应立即支付。</w:t>
      </w:r>
    </w:p>
    <w:p w:rsidR="00681DDD">
      <w:pPr>
        <w:pStyle w:val="Heading1"/>
        <w:keepNext/>
        <w:spacing w:line="276" w:lineRule="auto"/>
        <w:ind w:firstLine="0"/>
        <w:rPr>
          <w:rFonts w:eastAsia="楷体"/>
          <w:color w:val="00A5E7"/>
          <w:sz w:val="20"/>
          <w:u w:val="none"/>
        </w:rPr>
      </w:pPr>
      <w:bookmarkStart w:id="20" w:name="_Ref519874031"/>
      <w:r>
        <w:rPr>
          <w:rFonts w:eastAsia="楷体"/>
          <w:color w:val="00A5E7"/>
          <w:sz w:val="20"/>
          <w:u w:val="none"/>
        </w:rPr>
        <w:t>保证与条件</w:t>
      </w:r>
      <w:bookmarkEnd w:id="20"/>
    </w:p>
    <w:p w:rsidR="00681DDD">
      <w:pPr>
        <w:pStyle w:val="Heading2"/>
        <w:keepNext/>
        <w:spacing w:line="276" w:lineRule="auto"/>
        <w:rPr>
          <w:rFonts w:eastAsia="楷体"/>
          <w:sz w:val="20"/>
        </w:rPr>
      </w:pPr>
      <w:r>
        <w:rPr>
          <w:rFonts w:eastAsia="楷体"/>
          <w:sz w:val="20"/>
        </w:rPr>
        <w:t xml:space="preserve">Vita </w:t>
      </w:r>
      <w:r>
        <w:rPr>
          <w:rFonts w:eastAsia="楷体" w:hint="eastAsia"/>
          <w:sz w:val="20"/>
        </w:rPr>
        <w:t>保证，交付时拥有商品所有权，有权销售商品，且销售权不受限制。</w:t>
      </w:r>
    </w:p>
    <w:p w:rsidR="00681DDD">
      <w:pPr>
        <w:pStyle w:val="Heading2"/>
        <w:spacing w:line="276" w:lineRule="auto"/>
        <w:rPr>
          <w:rFonts w:eastAsia="楷体"/>
          <w:sz w:val="20"/>
        </w:rPr>
      </w:pPr>
      <w:r>
        <w:rPr>
          <w:rFonts w:eastAsia="楷体" w:hint="eastAsia"/>
          <w:sz w:val="20"/>
        </w:rPr>
        <w:t>Vita</w:t>
      </w:r>
      <w:r>
        <w:rPr>
          <w:rFonts w:eastAsia="楷体" w:hint="eastAsia"/>
          <w:sz w:val="20"/>
        </w:rPr>
        <w:t>秉持善意根据标准检测结果出具商品各项说明或规格，但是，对于与此类说明或规格相对应的商品的任何明示或默示条件或保证，均特此明确排除，并且，使用任何该等说明或规格均不构成按说明出售。</w:t>
      </w:r>
    </w:p>
    <w:p w:rsidR="00681DDD">
      <w:pPr>
        <w:pStyle w:val="Heading2"/>
        <w:spacing w:line="276" w:lineRule="auto"/>
        <w:rPr>
          <w:rFonts w:eastAsia="楷体"/>
          <w:sz w:val="20"/>
        </w:rPr>
      </w:pPr>
      <w:r>
        <w:rPr>
          <w:rFonts w:eastAsia="楷体" w:hint="eastAsia"/>
          <w:sz w:val="20"/>
        </w:rPr>
        <w:t>有关商品质量或者适合特定目的的任何条件或保证（包括明示或者制</w:t>
      </w:r>
      <w:r>
        <w:rPr>
          <w:rFonts w:eastAsia="楷体" w:hint="eastAsia"/>
          <w:sz w:val="20"/>
        </w:rPr>
        <w:t>定法默示的，普通法的，或者产生自行为或者之前交易过程或者贸易习惯或用途的），即便已经通过明示或隐含的方式为</w:t>
      </w:r>
      <w:r>
        <w:rPr>
          <w:rFonts w:eastAsia="楷体" w:hint="eastAsia"/>
          <w:sz w:val="20"/>
        </w:rPr>
        <w:t>Vita</w:t>
      </w:r>
      <w:r>
        <w:rPr>
          <w:rFonts w:eastAsia="楷体" w:hint="eastAsia"/>
          <w:sz w:val="20"/>
        </w:rPr>
        <w:t>所知，均在适用法律允许范围内，特此明确尽可能排除。</w:t>
      </w:r>
    </w:p>
    <w:p w:rsidR="00681DDD">
      <w:pPr>
        <w:pStyle w:val="Heading2"/>
        <w:spacing w:line="276" w:lineRule="auto"/>
        <w:rPr>
          <w:rFonts w:eastAsia="楷体"/>
          <w:sz w:val="20"/>
        </w:rPr>
      </w:pPr>
      <w:r>
        <w:rPr>
          <w:rFonts w:eastAsia="楷体" w:hint="eastAsia"/>
          <w:sz w:val="20"/>
        </w:rPr>
        <w:t>即便曾向买方展示商品样本且样品经买方检查，或者即便向买方提供的样本的标准检测已有结果，特比宣布，上述展示并检查或者检测的样本仅仅使买方能够自行判断商品质量，而不构成按样本销售。关于商品是否符合样本，或者商品针对任何目的之质量、条件和／或是否足量，买方收取商品应自担风险。</w:t>
      </w:r>
    </w:p>
    <w:p w:rsidR="00681DDD">
      <w:pPr>
        <w:pStyle w:val="Heading2"/>
        <w:spacing w:line="276" w:lineRule="auto"/>
        <w:rPr>
          <w:rFonts w:eastAsia="楷体"/>
          <w:sz w:val="20"/>
        </w:rPr>
      </w:pPr>
      <w:r>
        <w:rPr>
          <w:rFonts w:eastAsia="楷体" w:hint="eastAsia"/>
          <w:sz w:val="20"/>
        </w:rPr>
        <w:t>在不影响第</w:t>
      </w:r>
      <w:r>
        <w:rPr>
          <w:rFonts w:eastAsia="楷体"/>
          <w:sz w:val="20"/>
        </w:rPr>
        <w:fldChar w:fldCharType="begin"/>
      </w:r>
      <w:r>
        <w:rPr>
          <w:rFonts w:eastAsia="楷体"/>
          <w:sz w:val="20"/>
        </w:rPr>
        <w:instrText xml:space="preserve"> REF _Ref519874031 \n \h  \* MERGEFORMAT </w:instrText>
      </w:r>
      <w:r>
        <w:rPr>
          <w:rFonts w:eastAsia="楷体"/>
          <w:sz w:val="20"/>
        </w:rPr>
        <w:fldChar w:fldCharType="separate"/>
      </w:r>
      <w:r>
        <w:rPr>
          <w:rFonts w:eastAsia="楷体"/>
          <w:sz w:val="20"/>
        </w:rPr>
        <w:t>15</w:t>
      </w:r>
      <w:r>
        <w:rPr>
          <w:rFonts w:eastAsia="楷体"/>
          <w:sz w:val="20"/>
        </w:rPr>
        <w:fldChar w:fldCharType="end"/>
      </w:r>
      <w:r>
        <w:rPr>
          <w:rFonts w:eastAsia="楷体" w:hint="eastAsia"/>
          <w:sz w:val="20"/>
        </w:rPr>
        <w:t>项条件的</w:t>
      </w:r>
      <w:r>
        <w:rPr>
          <w:rFonts w:eastAsia="楷体" w:hint="eastAsia"/>
          <w:sz w:val="20"/>
        </w:rPr>
        <w:t>同时，应用、使用及加工商品纯属买方责任，买方视为已经自行检测确保商品适合其意向用途及应用。</w:t>
      </w:r>
    </w:p>
    <w:p w:rsidR="00681DDD">
      <w:pPr>
        <w:pStyle w:val="Heading2"/>
        <w:spacing w:line="276" w:lineRule="auto"/>
        <w:rPr>
          <w:rFonts w:eastAsia="楷体"/>
          <w:sz w:val="20"/>
        </w:rPr>
      </w:pPr>
      <w:r>
        <w:rPr>
          <w:rFonts w:eastAsia="楷体" w:hint="eastAsia"/>
          <w:sz w:val="20"/>
        </w:rPr>
        <w:t>对于并非由</w:t>
      </w:r>
      <w:r>
        <w:rPr>
          <w:rFonts w:eastAsia="楷体" w:hint="eastAsia"/>
          <w:sz w:val="20"/>
        </w:rPr>
        <w:t>Vita</w:t>
      </w:r>
      <w:r>
        <w:rPr>
          <w:rFonts w:eastAsia="楷体" w:hint="eastAsia"/>
          <w:sz w:val="20"/>
        </w:rPr>
        <w:t>生产的商品（零件或组件），</w:t>
      </w:r>
      <w:r>
        <w:rPr>
          <w:rFonts w:eastAsia="楷体" w:hint="eastAsia"/>
          <w:sz w:val="20"/>
        </w:rPr>
        <w:t>Vita</w:t>
      </w:r>
      <w:r>
        <w:rPr>
          <w:rFonts w:eastAsia="楷体" w:hint="eastAsia"/>
          <w:sz w:val="20"/>
        </w:rPr>
        <w:t>不承担任何责任。</w:t>
      </w:r>
    </w:p>
    <w:p w:rsidR="00681DDD">
      <w:pPr>
        <w:pStyle w:val="Heading1"/>
        <w:keepNext/>
        <w:spacing w:line="276" w:lineRule="auto"/>
        <w:ind w:firstLine="0"/>
        <w:rPr>
          <w:rFonts w:eastAsia="楷体"/>
          <w:color w:val="00A5E7"/>
          <w:sz w:val="20"/>
          <w:u w:val="none"/>
        </w:rPr>
      </w:pPr>
      <w:bookmarkStart w:id="21" w:name="_Ref519874038"/>
      <w:r>
        <w:rPr>
          <w:rFonts w:eastAsia="楷体" w:hint="eastAsia"/>
          <w:color w:val="00A5E7"/>
          <w:sz w:val="20"/>
          <w:u w:val="none"/>
        </w:rPr>
        <w:t>责任</w:t>
      </w:r>
      <w:bookmarkEnd w:id="21"/>
    </w:p>
    <w:p w:rsidR="00681DDD">
      <w:pPr>
        <w:pStyle w:val="Heading2"/>
        <w:keepNext/>
        <w:spacing w:line="276" w:lineRule="auto"/>
        <w:rPr>
          <w:rFonts w:eastAsia="楷体"/>
          <w:sz w:val="20"/>
        </w:rPr>
      </w:pPr>
      <w:bookmarkStart w:id="22" w:name="_Ref521589789"/>
      <w:r>
        <w:rPr>
          <w:rFonts w:eastAsia="楷体" w:hint="eastAsia"/>
          <w:sz w:val="20"/>
        </w:rPr>
        <w:t>不得将第</w:t>
      </w:r>
      <w:r>
        <w:rPr>
          <w:rFonts w:eastAsia="楷体"/>
          <w:sz w:val="20"/>
        </w:rPr>
        <w:fldChar w:fldCharType="begin"/>
      </w:r>
      <w:r>
        <w:rPr>
          <w:rFonts w:eastAsia="楷体"/>
          <w:sz w:val="20"/>
        </w:rPr>
        <w:instrText xml:space="preserve"> REF _Ref519874038 \n \h  \* MERGEFORMAT </w:instrText>
      </w:r>
      <w:r>
        <w:rPr>
          <w:rFonts w:eastAsia="楷体"/>
          <w:sz w:val="20"/>
        </w:rPr>
        <w:fldChar w:fldCharType="separate"/>
      </w:r>
      <w:r>
        <w:rPr>
          <w:rFonts w:eastAsia="楷体"/>
          <w:sz w:val="20"/>
        </w:rPr>
        <w:t>16</w:t>
      </w:r>
      <w:r>
        <w:rPr>
          <w:rFonts w:eastAsia="楷体"/>
          <w:sz w:val="20"/>
        </w:rPr>
        <w:fldChar w:fldCharType="end"/>
      </w:r>
      <w:r>
        <w:rPr>
          <w:rFonts w:eastAsia="楷体" w:hint="eastAsia"/>
          <w:sz w:val="20"/>
        </w:rPr>
        <w:t>项条件任何内容视为排除或限制</w:t>
      </w:r>
      <w:r>
        <w:rPr>
          <w:rFonts w:eastAsia="楷体" w:hint="eastAsia"/>
          <w:sz w:val="20"/>
        </w:rPr>
        <w:t>Vita</w:t>
      </w:r>
      <w:r>
        <w:rPr>
          <w:rFonts w:eastAsia="楷体" w:hint="eastAsia"/>
          <w:sz w:val="20"/>
        </w:rPr>
        <w:t>就以下情形所承担的责任：</w:t>
      </w:r>
    </w:p>
    <w:p w:rsidR="00681DDD">
      <w:pPr>
        <w:pStyle w:val="Heading3"/>
        <w:tabs>
          <w:tab w:val="clear" w:pos="1800"/>
          <w:tab w:val="num" w:pos="2160"/>
          <w:tab w:val="num" w:pos="2520"/>
        </w:tabs>
        <w:spacing w:line="276" w:lineRule="auto"/>
        <w:ind w:left="2160" w:hanging="720"/>
        <w:rPr>
          <w:rFonts w:eastAsia="楷体"/>
          <w:sz w:val="20"/>
        </w:rPr>
      </w:pPr>
      <w:bookmarkStart w:id="23" w:name="_GoBack"/>
      <w:bookmarkEnd w:id="22"/>
      <w:r>
        <w:rPr>
          <w:rFonts w:eastAsia="楷体" w:hint="eastAsia"/>
          <w:sz w:val="20"/>
        </w:rPr>
        <w:t>该方过失或该方雇员、代理人或分包商过失导致的人员伤亡；</w:t>
      </w:r>
      <w:bookmarkEnd w:id="23"/>
    </w:p>
    <w:p w:rsidR="00681DDD">
      <w:pPr>
        <w:pStyle w:val="Heading3"/>
        <w:tabs>
          <w:tab w:val="clear" w:pos="1800"/>
          <w:tab w:val="num" w:pos="2160"/>
          <w:tab w:val="num" w:pos="2520"/>
        </w:tabs>
        <w:spacing w:line="276" w:lineRule="auto"/>
        <w:ind w:left="2160" w:hanging="720"/>
        <w:rPr>
          <w:rFonts w:eastAsia="楷体"/>
          <w:sz w:val="20"/>
        </w:rPr>
      </w:pPr>
      <w:r>
        <w:rPr>
          <w:rFonts w:eastAsia="楷体" w:hint="eastAsia"/>
          <w:sz w:val="20"/>
        </w:rPr>
        <w:t>欺诈或欺诈性质不当陈述；</w:t>
      </w:r>
      <w:r>
        <w:rPr>
          <w:rFonts w:eastAsia="楷体"/>
          <w:sz w:val="20"/>
        </w:rPr>
        <w:t xml:space="preserve"> </w:t>
      </w:r>
    </w:p>
    <w:p w:rsidR="00681DDD">
      <w:pPr>
        <w:pStyle w:val="Heading3"/>
        <w:tabs>
          <w:tab w:val="clear" w:pos="1800"/>
          <w:tab w:val="num" w:pos="2160"/>
          <w:tab w:val="num" w:pos="2520"/>
        </w:tabs>
        <w:spacing w:line="276" w:lineRule="auto"/>
        <w:ind w:left="2160" w:hanging="720"/>
        <w:rPr>
          <w:rFonts w:eastAsia="楷体"/>
          <w:sz w:val="20"/>
        </w:rPr>
      </w:pPr>
      <w:r>
        <w:rPr>
          <w:rFonts w:eastAsia="楷体" w:hint="eastAsia"/>
          <w:sz w:val="20"/>
        </w:rPr>
        <w:t>《中国产品质量法》规定的缺陷产品；或</w:t>
      </w:r>
    </w:p>
    <w:p w:rsidR="00681DDD">
      <w:pPr>
        <w:pStyle w:val="Heading3"/>
        <w:tabs>
          <w:tab w:val="clear" w:pos="1800"/>
          <w:tab w:val="num" w:pos="2160"/>
          <w:tab w:val="num" w:pos="2520"/>
        </w:tabs>
        <w:spacing w:line="276" w:lineRule="auto"/>
        <w:ind w:left="2160" w:hanging="720"/>
        <w:rPr>
          <w:rFonts w:eastAsia="楷体"/>
          <w:sz w:val="20"/>
        </w:rPr>
      </w:pPr>
      <w:r>
        <w:rPr>
          <w:rFonts w:eastAsia="楷体" w:hint="eastAsia"/>
          <w:sz w:val="20"/>
        </w:rPr>
        <w:t>V</w:t>
      </w:r>
      <w:r>
        <w:rPr>
          <w:rFonts w:eastAsia="楷体"/>
          <w:sz w:val="20"/>
        </w:rPr>
        <w:t>ita</w:t>
      </w:r>
      <w:r>
        <w:rPr>
          <w:rFonts w:eastAsia="楷体" w:hint="eastAsia"/>
          <w:sz w:val="20"/>
        </w:rPr>
        <w:t>排除或限制责任属违法的任何事项。</w:t>
      </w:r>
    </w:p>
    <w:p w:rsidR="00681DDD">
      <w:pPr>
        <w:pStyle w:val="Heading2"/>
        <w:spacing w:line="276" w:lineRule="auto"/>
        <w:rPr>
          <w:rFonts w:eastAsia="楷体"/>
          <w:sz w:val="20"/>
        </w:rPr>
      </w:pPr>
      <w:bookmarkStart w:id="24" w:name="_Ref521939025"/>
      <w:r>
        <w:rPr>
          <w:rFonts w:eastAsia="楷体" w:hint="eastAsia"/>
          <w:sz w:val="20"/>
        </w:rPr>
        <w:t>除第</w:t>
      </w:r>
      <w:r>
        <w:rPr>
          <w:rFonts w:eastAsia="楷体"/>
          <w:sz w:val="20"/>
        </w:rPr>
        <w:fldChar w:fldCharType="begin"/>
      </w:r>
      <w:r>
        <w:rPr>
          <w:rFonts w:eastAsia="楷体"/>
          <w:sz w:val="20"/>
        </w:rPr>
        <w:instrText xml:space="preserve"> REF _Ref521589789 \w \h  \* MERGEFORMAT </w:instrText>
      </w:r>
      <w:r>
        <w:rPr>
          <w:rFonts w:eastAsia="楷体"/>
          <w:sz w:val="20"/>
        </w:rPr>
        <w:fldChar w:fldCharType="separate"/>
      </w:r>
      <w:r>
        <w:rPr>
          <w:rFonts w:eastAsia="楷体"/>
          <w:sz w:val="20"/>
        </w:rPr>
        <w:t>16.1</w:t>
      </w:r>
      <w:r>
        <w:rPr>
          <w:rFonts w:eastAsia="楷体"/>
          <w:sz w:val="20"/>
        </w:rPr>
        <w:fldChar w:fldCharType="end"/>
      </w:r>
      <w:r>
        <w:rPr>
          <w:rFonts w:eastAsia="楷体" w:hint="eastAsia"/>
          <w:sz w:val="20"/>
        </w:rPr>
        <w:t>项条件另有约定，订单仅及于错误设计、制造、材料或工艺所导致的缺陷。对于因买方、买方服务人员或代理人作为、不作为、过失或过错（包括但不限于买方未遵守</w:t>
      </w:r>
      <w:r>
        <w:rPr>
          <w:rFonts w:eastAsia="楷体" w:hint="eastAsia"/>
          <w:sz w:val="20"/>
        </w:rPr>
        <w:t>Vita</w:t>
      </w:r>
      <w:r>
        <w:rPr>
          <w:rFonts w:eastAsia="楷体" w:hint="eastAsia"/>
          <w:sz w:val="20"/>
        </w:rPr>
        <w:t>关于商品仓储、使用或处理方面的任何建议）导致的商品任何缺陷，</w:t>
      </w:r>
      <w:r>
        <w:rPr>
          <w:rFonts w:eastAsia="楷体" w:hint="eastAsia"/>
          <w:sz w:val="20"/>
        </w:rPr>
        <w:t>Vita</w:t>
      </w:r>
      <w:r>
        <w:rPr>
          <w:rFonts w:eastAsia="楷体" w:hint="eastAsia"/>
          <w:sz w:val="20"/>
        </w:rPr>
        <w:t>无需根据订单承担任何责任。</w:t>
      </w:r>
    </w:p>
    <w:p w:rsidR="00681DDD">
      <w:pPr>
        <w:pStyle w:val="Heading2"/>
        <w:spacing w:line="276" w:lineRule="auto"/>
        <w:rPr>
          <w:rFonts w:eastAsia="楷体"/>
          <w:sz w:val="20"/>
        </w:rPr>
      </w:pPr>
      <w:bookmarkStart w:id="25" w:name="_Ref519874063"/>
      <w:bookmarkEnd w:id="24"/>
      <w:r>
        <w:rPr>
          <w:rFonts w:eastAsia="楷体"/>
          <w:sz w:val="20"/>
        </w:rPr>
        <w:t xml:space="preserve">Vita </w:t>
      </w:r>
      <w:r>
        <w:rPr>
          <w:rFonts w:eastAsia="楷体" w:hint="eastAsia"/>
          <w:sz w:val="20"/>
        </w:rPr>
        <w:t>同意，若在发货日期十二</w:t>
      </w:r>
      <w:r>
        <w:rPr>
          <w:rFonts w:eastAsia="楷体" w:hint="eastAsia"/>
          <w:sz w:val="20"/>
        </w:rPr>
        <w:t>(</w:t>
      </w:r>
      <w:r>
        <w:rPr>
          <w:rFonts w:eastAsia="楷体"/>
          <w:sz w:val="20"/>
        </w:rPr>
        <w:t>12)</w:t>
      </w:r>
      <w:r>
        <w:rPr>
          <w:rFonts w:eastAsia="楷体" w:hint="eastAsia"/>
          <w:sz w:val="20"/>
        </w:rPr>
        <w:t>个月内发现任何第</w:t>
      </w:r>
      <w:r>
        <w:rPr>
          <w:rFonts w:eastAsia="楷体"/>
          <w:sz w:val="20"/>
        </w:rPr>
        <w:fldChar w:fldCharType="begin"/>
      </w:r>
      <w:r>
        <w:rPr>
          <w:rFonts w:eastAsia="楷体"/>
          <w:sz w:val="20"/>
        </w:rPr>
        <w:instrText xml:space="preserve"> REF _Ref521939025 \w \h  \* MERGEFORMAT </w:instrText>
      </w:r>
      <w:r>
        <w:rPr>
          <w:rFonts w:eastAsia="楷体"/>
          <w:sz w:val="20"/>
        </w:rPr>
        <w:fldChar w:fldCharType="separate"/>
      </w:r>
      <w:r>
        <w:rPr>
          <w:rFonts w:eastAsia="楷体"/>
          <w:sz w:val="20"/>
        </w:rPr>
        <w:t>16.2</w:t>
      </w:r>
      <w:r>
        <w:rPr>
          <w:rFonts w:eastAsia="楷体"/>
          <w:sz w:val="20"/>
        </w:rPr>
        <w:fldChar w:fldCharType="end"/>
      </w:r>
      <w:r>
        <w:rPr>
          <w:rFonts w:eastAsia="楷体" w:hint="eastAsia"/>
          <w:sz w:val="20"/>
        </w:rPr>
        <w:t>项条件所述缺陷，</w:t>
      </w:r>
      <w:r>
        <w:rPr>
          <w:rFonts w:eastAsia="楷体" w:hint="eastAsia"/>
          <w:sz w:val="20"/>
        </w:rPr>
        <w:t>Vita</w:t>
      </w:r>
      <w:r>
        <w:rPr>
          <w:rFonts w:eastAsia="楷体" w:hint="eastAsia"/>
          <w:sz w:val="20"/>
        </w:rPr>
        <w:t>将：自担费用维修商品，更换商品，或者按比例退还商品价格。若</w:t>
      </w:r>
      <w:r>
        <w:rPr>
          <w:rFonts w:eastAsia="楷体" w:hint="eastAsia"/>
          <w:sz w:val="20"/>
        </w:rPr>
        <w:t>Vita</w:t>
      </w:r>
      <w:r>
        <w:rPr>
          <w:rFonts w:eastAsia="楷体" w:hint="eastAsia"/>
          <w:sz w:val="20"/>
        </w:rPr>
        <w:t>遵守第</w:t>
      </w:r>
      <w:r>
        <w:rPr>
          <w:rFonts w:eastAsia="楷体"/>
          <w:sz w:val="20"/>
        </w:rPr>
        <w:fldChar w:fldCharType="begin"/>
      </w:r>
      <w:r>
        <w:rPr>
          <w:rFonts w:eastAsia="楷体"/>
          <w:sz w:val="20"/>
        </w:rPr>
        <w:instrText xml:space="preserve"> REF _Ref519874063 \n \h  \* MERGEFORMAT </w:instrText>
      </w:r>
      <w:r>
        <w:rPr>
          <w:rFonts w:eastAsia="楷体"/>
          <w:sz w:val="20"/>
        </w:rPr>
        <w:fldChar w:fldCharType="separate"/>
      </w:r>
      <w:r>
        <w:rPr>
          <w:rFonts w:eastAsia="楷体"/>
          <w:sz w:val="20"/>
        </w:rPr>
        <w:t>16.3</w:t>
      </w:r>
      <w:r>
        <w:rPr>
          <w:rFonts w:eastAsia="楷体"/>
          <w:sz w:val="20"/>
        </w:rPr>
        <w:fldChar w:fldCharType="end"/>
      </w:r>
      <w:r>
        <w:rPr>
          <w:rFonts w:eastAsia="楷体" w:hint="eastAsia"/>
          <w:sz w:val="20"/>
        </w:rPr>
        <w:t>项条件，无需就违反第</w:t>
      </w:r>
      <w:r>
        <w:rPr>
          <w:rFonts w:eastAsia="楷体"/>
          <w:sz w:val="20"/>
        </w:rPr>
        <w:fldChar w:fldCharType="begin"/>
      </w:r>
      <w:r>
        <w:rPr>
          <w:rFonts w:eastAsia="楷体"/>
          <w:sz w:val="20"/>
        </w:rPr>
        <w:instrText xml:space="preserve"> REF _Ref519874031 \n \h  \* MERGEFORM</w:instrText>
      </w:r>
      <w:r>
        <w:rPr>
          <w:rFonts w:eastAsia="楷体"/>
          <w:sz w:val="20"/>
        </w:rPr>
        <w:instrText xml:space="preserve">AT </w:instrText>
      </w:r>
      <w:r>
        <w:rPr>
          <w:rFonts w:eastAsia="楷体"/>
          <w:sz w:val="20"/>
        </w:rPr>
        <w:fldChar w:fldCharType="separate"/>
      </w:r>
      <w:r>
        <w:rPr>
          <w:rFonts w:eastAsia="楷体"/>
          <w:sz w:val="20"/>
        </w:rPr>
        <w:t>15</w:t>
      </w:r>
      <w:r>
        <w:rPr>
          <w:rFonts w:eastAsia="楷体"/>
          <w:sz w:val="20"/>
        </w:rPr>
        <w:fldChar w:fldCharType="end"/>
      </w:r>
      <w:r>
        <w:rPr>
          <w:rFonts w:eastAsia="楷体" w:hint="eastAsia"/>
          <w:sz w:val="20"/>
        </w:rPr>
        <w:t>项条件所述保证进一步承担任何责任。</w:t>
      </w:r>
    </w:p>
    <w:p w:rsidR="00681DDD">
      <w:pPr>
        <w:pStyle w:val="Heading2"/>
        <w:keepNext/>
        <w:spacing w:line="276" w:lineRule="auto"/>
        <w:rPr>
          <w:rFonts w:eastAsia="楷体"/>
          <w:sz w:val="20"/>
        </w:rPr>
      </w:pPr>
      <w:bookmarkEnd w:id="25"/>
      <w:r>
        <w:rPr>
          <w:rFonts w:eastAsia="楷体" w:hint="eastAsia"/>
          <w:sz w:val="20"/>
        </w:rPr>
        <w:t>买方无法主张第</w:t>
      </w:r>
      <w:r>
        <w:rPr>
          <w:rFonts w:eastAsia="楷体"/>
          <w:sz w:val="20"/>
        </w:rPr>
        <w:fldChar w:fldCharType="begin"/>
      </w:r>
      <w:r>
        <w:rPr>
          <w:rFonts w:eastAsia="楷体"/>
          <w:sz w:val="20"/>
        </w:rPr>
        <w:instrText xml:space="preserve"> REF _Ref521939025 \w \h  \* MERGEFORMAT </w:instrText>
      </w:r>
      <w:r>
        <w:rPr>
          <w:rFonts w:eastAsia="楷体"/>
          <w:sz w:val="20"/>
        </w:rPr>
        <w:fldChar w:fldCharType="separate"/>
      </w:r>
      <w:r>
        <w:rPr>
          <w:rFonts w:eastAsia="楷体"/>
          <w:sz w:val="20"/>
        </w:rPr>
        <w:t>16.2</w:t>
      </w:r>
      <w:r>
        <w:rPr>
          <w:rFonts w:eastAsia="楷体"/>
          <w:sz w:val="20"/>
        </w:rPr>
        <w:fldChar w:fldCharType="end"/>
      </w:r>
      <w:r>
        <w:rPr>
          <w:rFonts w:eastAsia="楷体" w:hint="eastAsia"/>
          <w:sz w:val="20"/>
        </w:rPr>
        <w:t>项条件和第</w:t>
      </w:r>
      <w:r>
        <w:rPr>
          <w:rFonts w:eastAsia="楷体"/>
          <w:sz w:val="20"/>
        </w:rPr>
        <w:fldChar w:fldCharType="begin"/>
      </w:r>
      <w:r>
        <w:rPr>
          <w:rFonts w:eastAsia="楷体"/>
          <w:sz w:val="20"/>
        </w:rPr>
        <w:instrText xml:space="preserve"> REF _Ref519874063 \n \h  \* MERGEFORMAT </w:instrText>
      </w:r>
      <w:r>
        <w:rPr>
          <w:rFonts w:eastAsia="楷体"/>
          <w:sz w:val="20"/>
        </w:rPr>
        <w:fldChar w:fldCharType="separate"/>
      </w:r>
      <w:r>
        <w:rPr>
          <w:rFonts w:eastAsia="楷体"/>
          <w:sz w:val="20"/>
        </w:rPr>
        <w:t>16.3</w:t>
      </w:r>
      <w:r>
        <w:rPr>
          <w:rFonts w:eastAsia="楷体"/>
          <w:sz w:val="20"/>
        </w:rPr>
        <w:fldChar w:fldCharType="end"/>
      </w:r>
      <w:r>
        <w:rPr>
          <w:rFonts w:eastAsia="楷体" w:hint="eastAsia"/>
          <w:sz w:val="20"/>
        </w:rPr>
        <w:t>项条件之利益，除非：</w:t>
      </w:r>
    </w:p>
    <w:p w:rsidR="00681DDD">
      <w:pPr>
        <w:pStyle w:val="Heading3"/>
        <w:tabs>
          <w:tab w:val="num" w:pos="2160"/>
        </w:tabs>
        <w:spacing w:line="276" w:lineRule="auto"/>
        <w:ind w:left="2160" w:hanging="720"/>
        <w:rPr>
          <w:rFonts w:eastAsia="楷体"/>
          <w:sz w:val="20"/>
        </w:rPr>
      </w:pPr>
      <w:r>
        <w:rPr>
          <w:rFonts w:eastAsia="楷体" w:hint="eastAsia"/>
          <w:sz w:val="20"/>
        </w:rPr>
        <w:t>买方在发现相关缺陷后七</w:t>
      </w:r>
      <w:r>
        <w:rPr>
          <w:rFonts w:eastAsia="楷体" w:hint="eastAsia"/>
          <w:sz w:val="20"/>
        </w:rPr>
        <w:t>(</w:t>
      </w:r>
      <w:r>
        <w:rPr>
          <w:rFonts w:eastAsia="楷体"/>
          <w:sz w:val="20"/>
        </w:rPr>
        <w:t>7)</w:t>
      </w:r>
      <w:r>
        <w:rPr>
          <w:rFonts w:eastAsia="楷体" w:hint="eastAsia"/>
          <w:sz w:val="20"/>
        </w:rPr>
        <w:t>个工作日内将该缺陷书面通知</w:t>
      </w:r>
      <w:r>
        <w:rPr>
          <w:rFonts w:eastAsia="楷体" w:hint="eastAsia"/>
          <w:sz w:val="20"/>
        </w:rPr>
        <w:t>Vita</w:t>
      </w:r>
      <w:r>
        <w:rPr>
          <w:rFonts w:eastAsia="楷体" w:hint="eastAsia"/>
          <w:sz w:val="20"/>
        </w:rPr>
        <w:t>，使</w:t>
      </w:r>
      <w:r>
        <w:rPr>
          <w:rFonts w:eastAsia="楷体" w:hint="eastAsia"/>
          <w:sz w:val="20"/>
        </w:rPr>
        <w:t>Vita</w:t>
      </w:r>
      <w:r>
        <w:rPr>
          <w:rFonts w:eastAsia="楷体" w:hint="eastAsia"/>
          <w:sz w:val="20"/>
        </w:rPr>
        <w:t>有机会检查商品；</w:t>
      </w:r>
    </w:p>
    <w:p w:rsidR="00681DDD">
      <w:pPr>
        <w:pStyle w:val="Heading3"/>
        <w:tabs>
          <w:tab w:val="num" w:pos="2160"/>
        </w:tabs>
        <w:spacing w:line="276" w:lineRule="auto"/>
        <w:ind w:left="2160" w:hanging="720"/>
        <w:rPr>
          <w:rFonts w:eastAsia="楷体"/>
          <w:sz w:val="20"/>
        </w:rPr>
      </w:pPr>
      <w:r>
        <w:rPr>
          <w:rFonts w:eastAsia="楷体" w:hint="eastAsia"/>
          <w:sz w:val="20"/>
        </w:rPr>
        <w:t>将商品退还</w:t>
      </w:r>
      <w:r>
        <w:rPr>
          <w:rFonts w:eastAsia="楷体" w:hint="eastAsia"/>
          <w:sz w:val="20"/>
        </w:rPr>
        <w:t>Vita</w:t>
      </w:r>
      <w:r>
        <w:rPr>
          <w:rFonts w:eastAsia="楷体" w:hint="eastAsia"/>
          <w:sz w:val="20"/>
        </w:rPr>
        <w:t>；</w:t>
      </w:r>
    </w:p>
    <w:p w:rsidR="00681DDD">
      <w:pPr>
        <w:pStyle w:val="Heading3"/>
        <w:tabs>
          <w:tab w:val="num" w:pos="2160"/>
        </w:tabs>
        <w:spacing w:line="276" w:lineRule="auto"/>
        <w:ind w:left="2160" w:hanging="720"/>
        <w:rPr>
          <w:rFonts w:eastAsia="楷体"/>
          <w:sz w:val="20"/>
        </w:rPr>
      </w:pPr>
      <w:r>
        <w:rPr>
          <w:rFonts w:eastAsia="楷体" w:hint="eastAsia"/>
          <w:sz w:val="20"/>
        </w:rPr>
        <w:t>商品总价截至到期付款日已经支付；并且</w:t>
      </w:r>
    </w:p>
    <w:p w:rsidR="00681DDD">
      <w:pPr>
        <w:pStyle w:val="Heading3"/>
        <w:tabs>
          <w:tab w:val="num" w:pos="2160"/>
        </w:tabs>
        <w:spacing w:line="276" w:lineRule="auto"/>
        <w:ind w:left="2160" w:hanging="720"/>
        <w:rPr>
          <w:rFonts w:eastAsia="楷体"/>
          <w:sz w:val="20"/>
        </w:rPr>
      </w:pPr>
      <w:r>
        <w:rPr>
          <w:rFonts w:eastAsia="楷体" w:hint="eastAsia"/>
          <w:sz w:val="20"/>
        </w:rPr>
        <w:t>商品尚未使用，且未有改动。</w:t>
      </w:r>
    </w:p>
    <w:p w:rsidR="00681DDD">
      <w:pPr>
        <w:pStyle w:val="Heading2"/>
        <w:spacing w:line="276" w:lineRule="auto"/>
        <w:rPr>
          <w:rFonts w:eastAsia="楷体"/>
          <w:sz w:val="20"/>
        </w:rPr>
      </w:pPr>
      <w:bookmarkStart w:id="26" w:name="_Ref14811216"/>
      <w:r>
        <w:rPr>
          <w:rFonts w:eastAsia="楷体" w:hint="eastAsia"/>
          <w:sz w:val="20"/>
        </w:rPr>
        <w:t>商品在退还过程中的意外损失或损坏风险由买方承担。</w:t>
      </w:r>
    </w:p>
    <w:p w:rsidR="00681DDD">
      <w:pPr>
        <w:pStyle w:val="Heading2"/>
        <w:spacing w:line="276" w:lineRule="auto"/>
        <w:rPr>
          <w:rFonts w:eastAsia="楷体"/>
          <w:sz w:val="20"/>
        </w:rPr>
      </w:pPr>
      <w:bookmarkEnd w:id="26"/>
      <w:r>
        <w:rPr>
          <w:rFonts w:eastAsia="楷体" w:hint="eastAsia"/>
          <w:sz w:val="20"/>
        </w:rPr>
        <w:t>若商品分批次交付，则任何批次的任何缺陷均不构成撤销各批次其余部分的理由，买方有义务接受各批次其余部分的交付。</w:t>
      </w:r>
    </w:p>
    <w:p w:rsidR="00681DDD">
      <w:pPr>
        <w:pStyle w:val="Heading2"/>
        <w:spacing w:line="276" w:lineRule="auto"/>
        <w:rPr>
          <w:rFonts w:eastAsia="楷体"/>
          <w:sz w:val="20"/>
        </w:rPr>
      </w:pPr>
      <w:r>
        <w:rPr>
          <w:rFonts w:eastAsia="楷体" w:hint="eastAsia"/>
          <w:sz w:val="20"/>
        </w:rPr>
        <w:t>对于买方或买方代表提供的任何图纸、工程数量单或规格中任何不准确内容所导致的工作不完善之处，</w:t>
      </w:r>
      <w:r>
        <w:rPr>
          <w:rFonts w:eastAsia="楷体"/>
          <w:sz w:val="20"/>
        </w:rPr>
        <w:t>Vita</w:t>
      </w:r>
      <w:r>
        <w:rPr>
          <w:rFonts w:eastAsia="楷体" w:hint="eastAsia"/>
          <w:sz w:val="20"/>
        </w:rPr>
        <w:t>无需承担责任。</w:t>
      </w:r>
    </w:p>
    <w:p w:rsidR="00681DDD">
      <w:pPr>
        <w:pStyle w:val="Heading2"/>
        <w:spacing w:line="276" w:lineRule="auto"/>
        <w:rPr>
          <w:rFonts w:eastAsia="楷体"/>
          <w:sz w:val="20"/>
        </w:rPr>
      </w:pPr>
      <w:bookmarkStart w:id="27" w:name="_Ref521939096"/>
      <w:r>
        <w:rPr>
          <w:rFonts w:eastAsia="楷体" w:hint="eastAsia"/>
          <w:sz w:val="20"/>
        </w:rPr>
        <w:t>对于正常磨损、故意损坏、过失、工作状况异常、不遵守</w:t>
      </w:r>
      <w:r>
        <w:rPr>
          <w:rFonts w:eastAsia="楷体" w:hint="eastAsia"/>
          <w:sz w:val="20"/>
        </w:rPr>
        <w:t>Vita</w:t>
      </w:r>
      <w:r>
        <w:rPr>
          <w:rFonts w:eastAsia="楷体" w:hint="eastAsia"/>
          <w:sz w:val="20"/>
        </w:rPr>
        <w:t>指令、不当使用或经</w:t>
      </w:r>
      <w:r>
        <w:rPr>
          <w:rFonts w:eastAsia="楷体" w:hint="eastAsia"/>
          <w:sz w:val="20"/>
        </w:rPr>
        <w:t>Vita</w:t>
      </w:r>
      <w:r>
        <w:rPr>
          <w:rFonts w:eastAsia="楷体" w:hint="eastAsia"/>
          <w:sz w:val="20"/>
        </w:rPr>
        <w:t>批准擅自改动或者维修商品所导致的任何缺陷，</w:t>
      </w:r>
      <w:r>
        <w:rPr>
          <w:rFonts w:eastAsia="楷体" w:hint="eastAsia"/>
          <w:sz w:val="20"/>
        </w:rPr>
        <w:t>Vita</w:t>
      </w:r>
      <w:r>
        <w:rPr>
          <w:rFonts w:eastAsia="楷体" w:hint="eastAsia"/>
          <w:sz w:val="20"/>
        </w:rPr>
        <w:t>无需承担责任。</w:t>
      </w:r>
    </w:p>
    <w:p w:rsidR="00681DDD">
      <w:pPr>
        <w:pStyle w:val="Heading2"/>
        <w:spacing w:line="276" w:lineRule="auto"/>
        <w:rPr>
          <w:rFonts w:eastAsia="楷体"/>
          <w:sz w:val="20"/>
        </w:rPr>
      </w:pPr>
      <w:bookmarkEnd w:id="27"/>
      <w:r>
        <w:rPr>
          <w:rFonts w:eastAsia="楷体" w:hint="eastAsia"/>
          <w:sz w:val="20"/>
        </w:rPr>
        <w:t>若因商品供应或相关事宜（包括未根据订单供应商品或供应商品延迟），或者买方使用或转售商品或相关事宜，导致利润损失或者业务（或业务机会）损失，</w:t>
      </w:r>
      <w:r>
        <w:rPr>
          <w:rFonts w:eastAsia="楷体" w:hint="eastAsia"/>
          <w:sz w:val="20"/>
        </w:rPr>
        <w:t>或者任何间接、特殊或继发损失或损害、成本、支出或其他任何索赔主张（是否因</w:t>
      </w:r>
      <w:r>
        <w:rPr>
          <w:rFonts w:eastAsia="楷体" w:hint="eastAsia"/>
          <w:sz w:val="20"/>
        </w:rPr>
        <w:t>Vita</w:t>
      </w:r>
      <w:r>
        <w:rPr>
          <w:rFonts w:eastAsia="楷体" w:hint="eastAsia"/>
          <w:sz w:val="20"/>
        </w:rPr>
        <w:t>、</w:t>
      </w:r>
      <w:r>
        <w:rPr>
          <w:rFonts w:eastAsia="楷体" w:hint="eastAsia"/>
          <w:sz w:val="20"/>
        </w:rPr>
        <w:t>Vita</w:t>
      </w:r>
      <w:r>
        <w:rPr>
          <w:rFonts w:eastAsia="楷体" w:hint="eastAsia"/>
          <w:sz w:val="20"/>
        </w:rPr>
        <w:t>雇员或代理人或其他人士过失导致不论），则</w:t>
      </w:r>
      <w:r>
        <w:rPr>
          <w:rFonts w:eastAsia="楷体" w:hint="eastAsia"/>
          <w:sz w:val="20"/>
        </w:rPr>
        <w:t>Vita</w:t>
      </w:r>
      <w:r>
        <w:rPr>
          <w:rFonts w:eastAsia="楷体" w:hint="eastAsia"/>
          <w:sz w:val="20"/>
        </w:rPr>
        <w:t>无需因任何陈述（欺诈陈述除外）或默示保证、条件或其他条款或者普通法职责，也无需根据订单明确约定承担责任。并且，对于任何一</w:t>
      </w:r>
      <w:r>
        <w:rPr>
          <w:rFonts w:eastAsia="楷体" w:hint="eastAsia"/>
          <w:sz w:val="20"/>
        </w:rPr>
        <w:t>(</w:t>
      </w:r>
      <w:r>
        <w:rPr>
          <w:rFonts w:eastAsia="楷体"/>
          <w:sz w:val="20"/>
        </w:rPr>
        <w:t>1)</w:t>
      </w:r>
      <w:r>
        <w:rPr>
          <w:rFonts w:eastAsia="楷体" w:hint="eastAsia"/>
          <w:sz w:val="20"/>
        </w:rPr>
        <w:t>项索赔，或者对于</w:t>
      </w:r>
      <w:r>
        <w:rPr>
          <w:rFonts w:eastAsia="楷体" w:hint="eastAsia"/>
          <w:sz w:val="20"/>
        </w:rPr>
        <w:t>Vita</w:t>
      </w:r>
      <w:r>
        <w:rPr>
          <w:rFonts w:eastAsia="楷体" w:hint="eastAsia"/>
          <w:sz w:val="20"/>
        </w:rPr>
        <w:t>因订单或订单相关任何一</w:t>
      </w:r>
      <w:r>
        <w:rPr>
          <w:rFonts w:eastAsia="楷体" w:hint="eastAsia"/>
          <w:sz w:val="20"/>
        </w:rPr>
        <w:t>(</w:t>
      </w:r>
      <w:r>
        <w:rPr>
          <w:rFonts w:eastAsia="楷体"/>
          <w:sz w:val="20"/>
        </w:rPr>
        <w:t>1)</w:t>
      </w:r>
      <w:r>
        <w:rPr>
          <w:rFonts w:eastAsia="楷体" w:hint="eastAsia"/>
          <w:sz w:val="20"/>
        </w:rPr>
        <w:t>项行为或过错（是否因</w:t>
      </w:r>
      <w:r>
        <w:rPr>
          <w:rFonts w:eastAsia="楷体" w:hint="eastAsia"/>
          <w:sz w:val="20"/>
        </w:rPr>
        <w:t>Vita</w:t>
      </w:r>
      <w:r>
        <w:rPr>
          <w:rFonts w:eastAsia="楷体" w:hint="eastAsia"/>
          <w:sz w:val="20"/>
        </w:rPr>
        <w:t>过失或其他原因产生不论）产生的所有索赔之和，</w:t>
      </w:r>
      <w:r>
        <w:rPr>
          <w:rFonts w:eastAsia="楷体" w:hint="eastAsia"/>
          <w:sz w:val="20"/>
        </w:rPr>
        <w:t>Vita</w:t>
      </w:r>
      <w:r>
        <w:rPr>
          <w:rFonts w:eastAsia="楷体" w:hint="eastAsia"/>
          <w:sz w:val="20"/>
        </w:rPr>
        <w:t>所承担的全部责任上限为价格或者十万英镑</w:t>
      </w:r>
      <w:r>
        <w:rPr>
          <w:rFonts w:eastAsia="楷体"/>
          <w:sz w:val="20"/>
        </w:rPr>
        <w:t>(£100,000)</w:t>
      </w:r>
      <w:r>
        <w:rPr>
          <w:rFonts w:eastAsia="楷体" w:hint="eastAsia"/>
          <w:sz w:val="20"/>
        </w:rPr>
        <w:t>（取较高者）。</w:t>
      </w:r>
    </w:p>
    <w:p w:rsidR="00681DDD">
      <w:pPr>
        <w:pStyle w:val="Heading1"/>
        <w:keepNext/>
        <w:spacing w:line="276" w:lineRule="auto"/>
        <w:ind w:firstLine="0"/>
        <w:rPr>
          <w:rFonts w:eastAsia="楷体"/>
          <w:color w:val="00A5E7"/>
          <w:sz w:val="20"/>
          <w:u w:val="none"/>
        </w:rPr>
      </w:pPr>
      <w:r>
        <w:rPr>
          <w:rFonts w:eastAsia="楷体" w:hint="eastAsia"/>
          <w:color w:val="00A5E7"/>
          <w:sz w:val="20"/>
          <w:u w:val="none"/>
        </w:rPr>
        <w:t>不可抗力</w:t>
      </w:r>
    </w:p>
    <w:p w:rsidR="00681DDD">
      <w:pPr>
        <w:pStyle w:val="Heading2"/>
        <w:keepNext/>
        <w:spacing w:line="276" w:lineRule="auto"/>
        <w:rPr>
          <w:rFonts w:eastAsia="楷体"/>
          <w:sz w:val="20"/>
        </w:rPr>
      </w:pPr>
      <w:bookmarkStart w:id="28" w:name="_Ref15268264"/>
      <w:r>
        <w:rPr>
          <w:rFonts w:eastAsia="楷体" w:hint="eastAsia"/>
          <w:sz w:val="20"/>
        </w:rPr>
        <w:t>若</w:t>
      </w:r>
      <w:r>
        <w:rPr>
          <w:rFonts w:eastAsia="楷体" w:hint="eastAsia"/>
          <w:sz w:val="20"/>
        </w:rPr>
        <w:t>Vita</w:t>
      </w:r>
      <w:r>
        <w:rPr>
          <w:rFonts w:eastAsia="楷体" w:hint="eastAsia"/>
          <w:sz w:val="20"/>
        </w:rPr>
        <w:t>因不可抗力迟延履行或未履行订单义务，则无需就此向买方承担责任。</w:t>
      </w:r>
    </w:p>
    <w:p w:rsidR="00681DDD">
      <w:pPr>
        <w:pStyle w:val="Heading2"/>
        <w:spacing w:line="276" w:lineRule="auto"/>
        <w:rPr>
          <w:rFonts w:eastAsia="楷体"/>
          <w:sz w:val="20"/>
        </w:rPr>
      </w:pPr>
      <w:bookmarkStart w:id="29" w:name="_Ref197854979"/>
      <w:r>
        <w:rPr>
          <w:rFonts w:eastAsia="楷体" w:hint="eastAsia"/>
          <w:sz w:val="20"/>
        </w:rPr>
        <w:t>在不可抗力事件结束后，</w:t>
      </w:r>
      <w:r>
        <w:rPr>
          <w:rFonts w:eastAsia="楷体" w:hint="eastAsia"/>
          <w:sz w:val="20"/>
        </w:rPr>
        <w:t>Vita</w:t>
      </w:r>
      <w:r>
        <w:rPr>
          <w:rFonts w:eastAsia="楷体" w:hint="eastAsia"/>
          <w:sz w:val="20"/>
        </w:rPr>
        <w:t>应在合理情况下尽快通知买方，订单按照临不可抗力发生前的条款继续执行，但双方另有约定的除外。</w:t>
      </w:r>
    </w:p>
    <w:p w:rsidR="00681DDD">
      <w:pPr>
        <w:pStyle w:val="Heading1"/>
        <w:keepNext/>
        <w:spacing w:line="276" w:lineRule="auto"/>
        <w:ind w:firstLine="0"/>
        <w:rPr>
          <w:rFonts w:eastAsia="楷体"/>
          <w:color w:val="00A5E7"/>
          <w:sz w:val="20"/>
          <w:u w:val="none"/>
        </w:rPr>
      </w:pPr>
      <w:bookmarkEnd w:id="28"/>
      <w:bookmarkEnd w:id="29"/>
      <w:r>
        <w:rPr>
          <w:rFonts w:eastAsia="楷体" w:hint="eastAsia"/>
          <w:color w:val="00A5E7"/>
          <w:sz w:val="20"/>
          <w:u w:val="none"/>
        </w:rPr>
        <w:t>促销文件</w:t>
      </w:r>
    </w:p>
    <w:p w:rsidR="00681DDD">
      <w:pPr>
        <w:pStyle w:val="Heading2"/>
        <w:keepLines/>
        <w:numPr>
          <w:ilvl w:val="0"/>
          <w:numId w:val="0"/>
        </w:numPr>
        <w:tabs>
          <w:tab w:val="left" w:pos="420"/>
        </w:tabs>
        <w:spacing w:line="276" w:lineRule="auto"/>
        <w:ind w:left="1440"/>
        <w:rPr>
          <w:rFonts w:eastAsia="楷体"/>
          <w:sz w:val="20"/>
        </w:rPr>
      </w:pPr>
      <w:r>
        <w:rPr>
          <w:rFonts w:eastAsia="楷体" w:hint="eastAsia"/>
          <w:sz w:val="20"/>
        </w:rPr>
        <w:t>Vita</w:t>
      </w:r>
      <w:r>
        <w:rPr>
          <w:rFonts w:eastAsia="楷体" w:hint="eastAsia"/>
          <w:sz w:val="20"/>
        </w:rPr>
        <w:t>将采取在手册、技术宣传册、价目表和其他文件过程中极尽小心，但此类文件仅供买方一般指导，其中特定内容并不构成</w:t>
      </w:r>
      <w:r>
        <w:rPr>
          <w:rFonts w:eastAsia="楷体" w:hint="eastAsia"/>
          <w:sz w:val="20"/>
        </w:rPr>
        <w:t>Vita</w:t>
      </w:r>
      <w:r>
        <w:rPr>
          <w:rFonts w:eastAsia="楷体" w:hint="eastAsia"/>
          <w:sz w:val="20"/>
        </w:rPr>
        <w:t>陈述，也不构成订单内容，不约束</w:t>
      </w:r>
      <w:r>
        <w:rPr>
          <w:rFonts w:eastAsia="楷体" w:hint="eastAsia"/>
          <w:sz w:val="20"/>
        </w:rPr>
        <w:t>Vita</w:t>
      </w:r>
      <w:r>
        <w:rPr>
          <w:rFonts w:eastAsia="楷体" w:hint="eastAsia"/>
          <w:sz w:val="20"/>
        </w:rPr>
        <w:t>。</w:t>
      </w:r>
    </w:p>
    <w:p w:rsidR="00681DDD">
      <w:pPr>
        <w:pStyle w:val="Heading1"/>
        <w:keepNext/>
        <w:spacing w:line="276" w:lineRule="auto"/>
        <w:ind w:firstLine="0"/>
        <w:rPr>
          <w:rFonts w:eastAsia="楷体"/>
          <w:color w:val="00A5E7"/>
          <w:sz w:val="20"/>
          <w:u w:val="none"/>
        </w:rPr>
      </w:pPr>
      <w:bookmarkStart w:id="30" w:name="_Ref519874087"/>
      <w:r>
        <w:rPr>
          <w:rFonts w:eastAsia="楷体" w:hint="eastAsia"/>
          <w:color w:val="00A5E7"/>
          <w:sz w:val="20"/>
          <w:u w:val="none"/>
        </w:rPr>
        <w:t>知识产权</w:t>
      </w:r>
      <w:bookmarkEnd w:id="30"/>
    </w:p>
    <w:p w:rsidR="00681DDD">
      <w:pPr>
        <w:pStyle w:val="Heading2"/>
        <w:keepNext/>
        <w:spacing w:line="276" w:lineRule="auto"/>
        <w:rPr>
          <w:rFonts w:eastAsia="楷体"/>
          <w:sz w:val="20"/>
        </w:rPr>
      </w:pPr>
      <w:r>
        <w:rPr>
          <w:rFonts w:eastAsia="楷体" w:hint="eastAsia"/>
          <w:sz w:val="20"/>
        </w:rPr>
        <w:t>所有背景知识产权（连同其所有复本、修改、增强或改编，或此后创造的相关衍生作品或材料）均将是且保持是</w:t>
      </w:r>
      <w:r>
        <w:rPr>
          <w:rFonts w:eastAsia="楷体" w:hint="eastAsia"/>
          <w:sz w:val="20"/>
        </w:rPr>
        <w:t>Vita</w:t>
      </w:r>
      <w:r>
        <w:rPr>
          <w:rFonts w:eastAsia="楷体" w:hint="eastAsia"/>
          <w:sz w:val="20"/>
        </w:rPr>
        <w:t>或买方或者各方各自许可人（根据上下文</w:t>
      </w:r>
      <w:r>
        <w:rPr>
          <w:rFonts w:eastAsia="楷体" w:hint="eastAsia"/>
          <w:sz w:val="20"/>
        </w:rPr>
        <w:t>决定）财产。</w:t>
      </w:r>
    </w:p>
    <w:p w:rsidR="00681DDD">
      <w:pPr>
        <w:pStyle w:val="Heading2"/>
        <w:spacing w:line="276" w:lineRule="auto"/>
        <w:rPr>
          <w:rFonts w:eastAsia="楷体"/>
          <w:sz w:val="20"/>
        </w:rPr>
      </w:pPr>
      <w:r>
        <w:rPr>
          <w:rFonts w:eastAsia="楷体" w:hint="eastAsia"/>
          <w:sz w:val="20"/>
        </w:rPr>
        <w:t>买方向</w:t>
      </w:r>
      <w:r>
        <w:rPr>
          <w:rFonts w:eastAsia="楷体" w:hint="eastAsia"/>
          <w:sz w:val="20"/>
        </w:rPr>
        <w:t>Vita</w:t>
      </w:r>
      <w:r>
        <w:rPr>
          <w:rFonts w:eastAsia="楷体" w:hint="eastAsia"/>
          <w:sz w:val="20"/>
        </w:rPr>
        <w:t>给予和／或将为</w:t>
      </w:r>
      <w:r>
        <w:rPr>
          <w:rFonts w:eastAsia="楷体" w:hint="eastAsia"/>
          <w:sz w:val="20"/>
        </w:rPr>
        <w:t>Vita</w:t>
      </w:r>
      <w:r>
        <w:rPr>
          <w:rFonts w:eastAsia="楷体" w:hint="eastAsia"/>
          <w:sz w:val="20"/>
        </w:rPr>
        <w:t>取得一项全球范围、免特许使用费、非排他、可转让且可再许可的永久、不可撤消许可，供</w:t>
      </w:r>
      <w:r>
        <w:rPr>
          <w:rFonts w:eastAsia="楷体" w:hint="eastAsia"/>
          <w:sz w:val="20"/>
        </w:rPr>
        <w:t>Vita</w:t>
      </w:r>
      <w:r>
        <w:rPr>
          <w:rFonts w:eastAsia="楷体" w:hint="eastAsia"/>
          <w:sz w:val="20"/>
        </w:rPr>
        <w:t>在提供产品所需范围内利用、使用（以及允许供应商和／或顾客使用）、复制、修改、改编由买方或买方代表提供的买方背景知识产权，以及创造此类知识产权的衍生作品。</w:t>
      </w:r>
    </w:p>
    <w:p w:rsidR="00681DDD">
      <w:pPr>
        <w:pStyle w:val="Heading2"/>
        <w:spacing w:line="276" w:lineRule="auto"/>
        <w:rPr>
          <w:rFonts w:eastAsia="楷体"/>
          <w:sz w:val="20"/>
        </w:rPr>
      </w:pPr>
      <w:r>
        <w:rPr>
          <w:rFonts w:eastAsia="楷体" w:hint="eastAsia"/>
          <w:sz w:val="20"/>
        </w:rPr>
        <w:t>除非双方另有明确书面约定，若产生订单知识产权，则买方将（若相关，可通过目前转让未来权利的方式）向</w:t>
      </w:r>
      <w:r>
        <w:rPr>
          <w:rFonts w:eastAsia="楷体" w:hint="eastAsia"/>
          <w:sz w:val="20"/>
        </w:rPr>
        <w:t>Vita</w:t>
      </w:r>
      <w:r>
        <w:rPr>
          <w:rFonts w:eastAsia="楷体" w:hint="eastAsia"/>
          <w:sz w:val="20"/>
        </w:rPr>
        <w:t>转让或将督促向</w:t>
      </w:r>
      <w:r>
        <w:rPr>
          <w:rFonts w:eastAsia="楷体" w:hint="eastAsia"/>
          <w:sz w:val="20"/>
        </w:rPr>
        <w:t>Vita</w:t>
      </w:r>
      <w:r>
        <w:rPr>
          <w:rFonts w:eastAsia="楷体" w:hint="eastAsia"/>
          <w:sz w:val="20"/>
        </w:rPr>
        <w:t>转让所有该等订单知识产权（包括针对任何侵权行为采取措施主张任何损害赔</w:t>
      </w:r>
      <w:r>
        <w:rPr>
          <w:rFonts w:eastAsia="楷体" w:hint="eastAsia"/>
          <w:sz w:val="20"/>
        </w:rPr>
        <w:t>偿和其他救济的权利），附带</w:t>
      </w:r>
      <w:r>
        <w:rPr>
          <w:rFonts w:eastAsia="楷体" w:hint="eastAsia"/>
          <w:sz w:val="20"/>
        </w:rPr>
        <w:t>完整所有权保证，无任何第三方权利、索赔或其他权益。买方还将为</w:t>
      </w:r>
      <w:r>
        <w:rPr>
          <w:rFonts w:eastAsia="楷体" w:hint="eastAsia"/>
          <w:sz w:val="20"/>
        </w:rPr>
        <w:t>Vita</w:t>
      </w:r>
      <w:r>
        <w:rPr>
          <w:rFonts w:eastAsia="楷体" w:hint="eastAsia"/>
          <w:sz w:val="20"/>
        </w:rPr>
        <w:t>取得所有精神权利弃权文书。</w:t>
      </w:r>
    </w:p>
    <w:p w:rsidR="00681DDD">
      <w:pPr>
        <w:pStyle w:val="Heading2"/>
        <w:spacing w:line="276" w:lineRule="auto"/>
        <w:rPr>
          <w:rFonts w:eastAsia="楷体"/>
          <w:sz w:val="20"/>
        </w:rPr>
      </w:pPr>
      <w:r>
        <w:rPr>
          <w:rFonts w:eastAsia="楷体" w:hint="eastAsia"/>
          <w:sz w:val="20"/>
        </w:rPr>
        <w:t>若因根据买方规格或特殊要求而使用、生产或销售商品，产生任何专利、商标、著作权或其他知识产权侵权指控，从而导致或可能导致任何成本、索赔和损害赔偿，则买方应就全部此类成本、索赔和损害赔偿补偿</w:t>
      </w:r>
      <w:r>
        <w:rPr>
          <w:rFonts w:eastAsia="楷体" w:hint="eastAsia"/>
          <w:sz w:val="20"/>
        </w:rPr>
        <w:t>Vita</w:t>
      </w:r>
      <w:r>
        <w:rPr>
          <w:rFonts w:eastAsia="楷体" w:hint="eastAsia"/>
          <w:sz w:val="20"/>
        </w:rPr>
        <w:t>。</w:t>
      </w:r>
    </w:p>
    <w:p w:rsidR="00681DDD">
      <w:pPr>
        <w:pStyle w:val="Heading1"/>
        <w:keepNext/>
        <w:spacing w:line="276" w:lineRule="auto"/>
        <w:ind w:firstLine="0"/>
        <w:rPr>
          <w:rFonts w:eastAsia="楷体"/>
          <w:color w:val="00A5E7"/>
          <w:sz w:val="20"/>
          <w:u w:val="none"/>
        </w:rPr>
      </w:pPr>
      <w:r>
        <w:rPr>
          <w:rFonts w:eastAsia="楷体" w:hint="eastAsia"/>
          <w:color w:val="00A5E7"/>
          <w:sz w:val="20"/>
          <w:u w:val="none"/>
        </w:rPr>
        <w:t>工具</w:t>
      </w:r>
    </w:p>
    <w:p w:rsidR="00681DDD">
      <w:pPr>
        <w:tabs>
          <w:tab w:val="left" w:pos="-1440"/>
          <w:tab w:val="left" w:pos="-720"/>
          <w:tab w:val="left" w:pos="0"/>
          <w:tab w:val="left" w:pos="720"/>
          <w:tab w:val="left" w:pos="1728"/>
          <w:tab w:val="left" w:pos="3024"/>
          <w:tab w:val="left" w:pos="3744"/>
          <w:tab w:val="left" w:pos="4320"/>
        </w:tabs>
        <w:suppressAutoHyphens/>
        <w:spacing w:line="276" w:lineRule="auto"/>
        <w:ind w:left="1440"/>
        <w:rPr>
          <w:rFonts w:ascii="Arial" w:eastAsia="楷体" w:hAnsi="Arial" w:cs="Arial"/>
          <w:sz w:val="20"/>
          <w:lang w:eastAsia="zh-CN"/>
        </w:rPr>
      </w:pPr>
      <w:r>
        <w:rPr>
          <w:rFonts w:ascii="Arial" w:eastAsia="楷体" w:hAnsi="Arial" w:cs="Arial" w:hint="eastAsia"/>
          <w:sz w:val="20"/>
          <w:lang w:eastAsia="zh-CN"/>
        </w:rPr>
        <w:t>为生产商品而制作或购买的任何工具、艺术品、切割板等诸如此类，即便买方已经为此支付了成本，仍然保持为</w:t>
      </w:r>
      <w:r>
        <w:rPr>
          <w:rFonts w:ascii="Arial" w:eastAsia="楷体" w:hAnsi="Arial" w:cs="Arial" w:hint="eastAsia"/>
          <w:sz w:val="20"/>
          <w:lang w:eastAsia="zh-CN"/>
        </w:rPr>
        <w:t>Vita</w:t>
      </w:r>
      <w:r>
        <w:rPr>
          <w:rFonts w:ascii="Arial" w:eastAsia="楷体" w:hAnsi="Arial" w:cs="Arial" w:hint="eastAsia"/>
          <w:sz w:val="20"/>
          <w:lang w:eastAsia="zh-CN"/>
        </w:rPr>
        <w:t>财产。</w:t>
      </w:r>
    </w:p>
    <w:p w:rsidR="00681DDD">
      <w:pPr>
        <w:pStyle w:val="Heading1"/>
        <w:keepNext/>
        <w:spacing w:line="276" w:lineRule="auto"/>
        <w:ind w:firstLine="0"/>
        <w:rPr>
          <w:rFonts w:eastAsia="楷体"/>
          <w:color w:val="00A5E7"/>
          <w:sz w:val="20"/>
          <w:u w:val="none"/>
        </w:rPr>
      </w:pPr>
      <w:r>
        <w:rPr>
          <w:rFonts w:eastAsia="楷体" w:hint="eastAsia"/>
          <w:color w:val="00A5E7"/>
          <w:sz w:val="20"/>
          <w:u w:val="none"/>
        </w:rPr>
        <w:t>服务要求</w:t>
      </w:r>
    </w:p>
    <w:p w:rsidR="00681DDD">
      <w:pPr>
        <w:tabs>
          <w:tab w:val="left" w:pos="-1440"/>
          <w:tab w:val="left" w:pos="-720"/>
          <w:tab w:val="left" w:pos="0"/>
          <w:tab w:val="left" w:pos="720"/>
          <w:tab w:val="left" w:pos="1728"/>
          <w:tab w:val="left" w:pos="3024"/>
          <w:tab w:val="left" w:pos="3744"/>
          <w:tab w:val="left" w:pos="4320"/>
        </w:tabs>
        <w:suppressAutoHyphens/>
        <w:spacing w:line="276" w:lineRule="auto"/>
        <w:ind w:left="1440"/>
        <w:rPr>
          <w:rFonts w:ascii="Arial" w:eastAsia="楷体" w:hAnsi="Arial" w:cs="Arial"/>
          <w:sz w:val="20"/>
          <w:lang w:eastAsia="zh-CN"/>
        </w:rPr>
      </w:pPr>
      <w:r>
        <w:rPr>
          <w:rFonts w:ascii="Arial" w:eastAsia="楷体" w:hAnsi="Arial" w:cs="Arial" w:hint="eastAsia"/>
          <w:sz w:val="20"/>
          <w:lang w:eastAsia="zh-CN"/>
        </w:rPr>
        <w:t>除非另有明确约定，</w:t>
      </w:r>
      <w:r>
        <w:rPr>
          <w:rFonts w:ascii="Arial" w:eastAsia="楷体" w:hAnsi="Arial" w:cs="Arial" w:hint="eastAsia"/>
          <w:sz w:val="20"/>
          <w:lang w:eastAsia="zh-CN"/>
        </w:rPr>
        <w:t>Vita</w:t>
      </w:r>
      <w:r>
        <w:rPr>
          <w:rFonts w:ascii="Arial" w:eastAsia="楷体" w:hAnsi="Arial" w:cs="Arial" w:hint="eastAsia"/>
          <w:sz w:val="20"/>
          <w:lang w:eastAsia="zh-CN"/>
        </w:rPr>
        <w:t>并不承诺在订单期结束后持有特定产品库存或生产特定产品。订单期后</w:t>
      </w:r>
      <w:r>
        <w:rPr>
          <w:rFonts w:ascii="Arial" w:eastAsia="楷体" w:hAnsi="Arial" w:cs="Arial" w:hint="eastAsia"/>
          <w:sz w:val="20"/>
          <w:lang w:eastAsia="zh-CN"/>
        </w:rPr>
        <w:t>的交付要求视为新询价，</w:t>
      </w:r>
      <w:r>
        <w:rPr>
          <w:rFonts w:ascii="Arial" w:eastAsia="楷体" w:hAnsi="Arial" w:cs="Arial" w:hint="eastAsia"/>
          <w:sz w:val="20"/>
          <w:lang w:eastAsia="zh-CN"/>
        </w:rPr>
        <w:t>Vita</w:t>
      </w:r>
      <w:r>
        <w:rPr>
          <w:rFonts w:ascii="Arial" w:eastAsia="楷体" w:hAnsi="Arial" w:cs="Arial" w:hint="eastAsia"/>
          <w:sz w:val="20"/>
          <w:lang w:eastAsia="zh-CN"/>
        </w:rPr>
        <w:t>将重新报价。</w:t>
      </w:r>
    </w:p>
    <w:p w:rsidR="00681DDD">
      <w:pPr>
        <w:pStyle w:val="Heading1"/>
        <w:keepNext/>
        <w:spacing w:line="276" w:lineRule="auto"/>
        <w:ind w:firstLine="0"/>
        <w:rPr>
          <w:rFonts w:eastAsia="楷体"/>
          <w:color w:val="00A5E7"/>
          <w:sz w:val="20"/>
          <w:u w:val="none"/>
        </w:rPr>
      </w:pPr>
      <w:r>
        <w:rPr>
          <w:rFonts w:eastAsia="楷体" w:hint="eastAsia"/>
          <w:color w:val="00A5E7"/>
          <w:sz w:val="20"/>
          <w:u w:val="none"/>
        </w:rPr>
        <w:t>届满与撤销</w:t>
      </w:r>
    </w:p>
    <w:p w:rsidR="00681DDD">
      <w:pPr>
        <w:pStyle w:val="Heading2"/>
        <w:keepNext/>
        <w:spacing w:line="276" w:lineRule="auto"/>
        <w:rPr>
          <w:rFonts w:eastAsia="楷体"/>
          <w:sz w:val="20"/>
        </w:rPr>
      </w:pPr>
      <w:r>
        <w:rPr>
          <w:rFonts w:eastAsia="楷体" w:hint="eastAsia"/>
          <w:sz w:val="20"/>
        </w:rPr>
        <w:t>订单届满或撤销（原因不论）不影响双方截至届满或撤销日（根据上下文决定）已经产形成的权利、救济、义务和责任。</w:t>
      </w:r>
    </w:p>
    <w:p w:rsidR="00681DDD">
      <w:pPr>
        <w:pStyle w:val="Heading2"/>
        <w:keepNext/>
        <w:spacing w:line="276" w:lineRule="auto"/>
        <w:rPr>
          <w:rFonts w:eastAsia="楷体"/>
          <w:sz w:val="20"/>
        </w:rPr>
      </w:pPr>
      <w:r>
        <w:rPr>
          <w:rFonts w:eastAsia="楷体" w:hint="eastAsia"/>
          <w:sz w:val="20"/>
        </w:rPr>
        <w:t>明示或默示在订单届满或撤销后存续的条件将继续保持完整效力。</w:t>
      </w:r>
    </w:p>
    <w:p w:rsidR="00681DDD">
      <w:pPr>
        <w:pStyle w:val="Heading1"/>
        <w:keepNext/>
        <w:spacing w:line="276" w:lineRule="auto"/>
        <w:ind w:firstLine="0"/>
        <w:rPr>
          <w:rFonts w:eastAsia="楷体"/>
          <w:color w:val="00A5E7"/>
          <w:sz w:val="20"/>
          <w:u w:val="none"/>
        </w:rPr>
      </w:pPr>
      <w:bookmarkStart w:id="31" w:name="_Ref519864568"/>
      <w:r>
        <w:rPr>
          <w:rFonts w:eastAsia="楷体"/>
          <w:color w:val="00A5E7"/>
          <w:sz w:val="20"/>
          <w:u w:val="none"/>
        </w:rPr>
        <w:t>保密与数据保护</w:t>
      </w:r>
      <w:bookmarkEnd w:id="31"/>
    </w:p>
    <w:p w:rsidR="00681DDD">
      <w:pPr>
        <w:pStyle w:val="Heading2"/>
        <w:spacing w:line="276" w:lineRule="auto"/>
        <w:rPr>
          <w:rFonts w:eastAsia="楷体"/>
          <w:sz w:val="20"/>
        </w:rPr>
      </w:pPr>
      <w:r>
        <w:rPr>
          <w:rFonts w:eastAsia="楷体"/>
          <w:sz w:val="20"/>
        </w:rPr>
        <w:t xml:space="preserve">Vita </w:t>
      </w:r>
      <w:r>
        <w:rPr>
          <w:rFonts w:eastAsia="楷体"/>
          <w:sz w:val="20"/>
        </w:rPr>
        <w:t>严肃对待隐私保护和保密工作。</w:t>
      </w:r>
      <w:r>
        <w:rPr>
          <w:rFonts w:eastAsia="楷体"/>
          <w:sz w:val="20"/>
        </w:rPr>
        <w:t>Vita</w:t>
      </w:r>
      <w:r>
        <w:rPr>
          <w:rFonts w:eastAsia="楷体"/>
          <w:sz w:val="20"/>
        </w:rPr>
        <w:t>理解所有客户均有权知晓其个人数据不会用于任何客户意图外目的。</w:t>
      </w:r>
    </w:p>
    <w:p w:rsidR="00681DDD">
      <w:pPr>
        <w:pStyle w:val="Heading2"/>
        <w:spacing w:line="276" w:lineRule="auto"/>
        <w:rPr>
          <w:rFonts w:eastAsia="楷体"/>
          <w:sz w:val="20"/>
        </w:rPr>
      </w:pPr>
      <w:bookmarkStart w:id="32" w:name="_Ref519870231"/>
      <w:r>
        <w:rPr>
          <w:rFonts w:eastAsia="楷体"/>
          <w:sz w:val="20"/>
        </w:rPr>
        <w:t>一方（</w:t>
      </w:r>
      <w:r>
        <w:rPr>
          <w:rFonts w:eastAsia="楷体"/>
          <w:b/>
          <w:color w:val="00A5E7"/>
          <w:sz w:val="20"/>
        </w:rPr>
        <w:t>“</w:t>
      </w:r>
      <w:r>
        <w:rPr>
          <w:rFonts w:eastAsia="楷体"/>
          <w:b/>
          <w:color w:val="00A5E7"/>
          <w:sz w:val="20"/>
        </w:rPr>
        <w:t>接收方</w:t>
      </w:r>
      <w:r>
        <w:rPr>
          <w:rFonts w:eastAsia="楷体"/>
          <w:b/>
          <w:color w:val="00A5E7"/>
          <w:sz w:val="20"/>
        </w:rPr>
        <w:t>”</w:t>
      </w:r>
      <w:r>
        <w:rPr>
          <w:rFonts w:eastAsia="楷体"/>
          <w:sz w:val="20"/>
        </w:rPr>
        <w:t>）应将披露取得的或者从其他方（或者代表其他方的任何人士）取得的所有保密信息严格保密，并且，除非出于履行订单之必要，不得使用或另行披露。</w:t>
      </w:r>
    </w:p>
    <w:p w:rsidR="00681DDD">
      <w:pPr>
        <w:pStyle w:val="Heading2"/>
        <w:spacing w:line="276" w:lineRule="auto"/>
        <w:rPr>
          <w:rFonts w:eastAsia="楷体"/>
          <w:sz w:val="20"/>
        </w:rPr>
      </w:pPr>
      <w:bookmarkStart w:id="33" w:name="_Ref519870227"/>
      <w:bookmarkEnd w:id="32"/>
      <w:r>
        <w:rPr>
          <w:rFonts w:eastAsia="楷体"/>
          <w:sz w:val="20"/>
        </w:rPr>
        <w:t>接收方应限制该等保密材料的披露对象，即仅限为履行接收方订单义务或行使订单权利而有必要知晓的接收方雇员、代理人或分包商，并应确保该等雇员、代理人或分包商履行适用于接收方的保密义务。</w:t>
      </w:r>
    </w:p>
    <w:p w:rsidR="00681DDD">
      <w:pPr>
        <w:pStyle w:val="Heading2"/>
        <w:spacing w:line="276" w:lineRule="auto"/>
        <w:rPr>
          <w:rFonts w:eastAsia="楷体"/>
          <w:sz w:val="20"/>
        </w:rPr>
      </w:pPr>
      <w:bookmarkEnd w:id="33"/>
      <w:r>
        <w:rPr>
          <w:rFonts w:eastAsia="楷体"/>
          <w:sz w:val="20"/>
        </w:rPr>
        <w:t>若适用法定或监管要求披露，则第</w:t>
      </w:r>
      <w:r>
        <w:rPr>
          <w:rFonts w:eastAsia="楷体"/>
          <w:sz w:val="20"/>
        </w:rPr>
        <w:fldChar w:fldCharType="begin"/>
      </w:r>
      <w:r>
        <w:rPr>
          <w:rFonts w:eastAsia="楷体"/>
          <w:sz w:val="20"/>
        </w:rPr>
        <w:instrText xml:space="preserve"> REF _Ref519870231 \r \h  \* MERGEFORMAT </w:instrText>
      </w:r>
      <w:r>
        <w:rPr>
          <w:rFonts w:eastAsia="楷体"/>
          <w:sz w:val="20"/>
        </w:rPr>
        <w:fldChar w:fldCharType="separate"/>
      </w:r>
      <w:r>
        <w:rPr>
          <w:rFonts w:eastAsia="楷体"/>
          <w:sz w:val="20"/>
        </w:rPr>
        <w:t>23.2</w:t>
      </w:r>
      <w:r>
        <w:rPr>
          <w:rFonts w:eastAsia="楷体"/>
          <w:sz w:val="20"/>
        </w:rPr>
        <w:fldChar w:fldCharType="end"/>
      </w:r>
      <w:r>
        <w:rPr>
          <w:rFonts w:eastAsia="楷体"/>
          <w:sz w:val="20"/>
        </w:rPr>
        <w:t>项条件和第</w:t>
      </w:r>
      <w:r>
        <w:rPr>
          <w:rFonts w:eastAsia="楷体"/>
          <w:sz w:val="20"/>
        </w:rPr>
        <w:fldChar w:fldCharType="begin"/>
      </w:r>
      <w:r>
        <w:rPr>
          <w:rFonts w:eastAsia="楷体"/>
          <w:sz w:val="20"/>
        </w:rPr>
        <w:instrText xml:space="preserve"> REF _Ref519870227 \r \h  \* MERGEFORMAT </w:instrText>
      </w:r>
      <w:r>
        <w:rPr>
          <w:rFonts w:eastAsia="楷体"/>
          <w:sz w:val="20"/>
        </w:rPr>
        <w:fldChar w:fldCharType="separate"/>
      </w:r>
      <w:r>
        <w:rPr>
          <w:rFonts w:eastAsia="楷体"/>
          <w:sz w:val="20"/>
        </w:rPr>
        <w:t>23.3</w:t>
      </w:r>
      <w:r>
        <w:rPr>
          <w:rFonts w:eastAsia="楷体"/>
          <w:sz w:val="20"/>
        </w:rPr>
        <w:fldChar w:fldCharType="end"/>
      </w:r>
      <w:r>
        <w:rPr>
          <w:rFonts w:eastAsia="楷体"/>
          <w:sz w:val="20"/>
        </w:rPr>
        <w:t>项条件不适用。</w:t>
      </w:r>
    </w:p>
    <w:p w:rsidR="00681DDD">
      <w:pPr>
        <w:pStyle w:val="Heading2"/>
        <w:spacing w:line="276" w:lineRule="auto"/>
        <w:rPr>
          <w:rFonts w:eastAsia="楷体"/>
          <w:sz w:val="20"/>
        </w:rPr>
      </w:pPr>
      <w:r>
        <w:rPr>
          <w:rFonts w:eastAsia="楷体"/>
          <w:sz w:val="20"/>
        </w:rPr>
        <w:t xml:space="preserve">Vita </w:t>
      </w:r>
      <w:r>
        <w:rPr>
          <w:rFonts w:eastAsia="楷体"/>
          <w:sz w:val="20"/>
        </w:rPr>
        <w:t>和买方应</w:t>
      </w:r>
      <w:r>
        <w:rPr>
          <w:rFonts w:eastAsia="楷体" w:hint="eastAsia"/>
          <w:sz w:val="20"/>
        </w:rPr>
        <w:t>遵守有关数据保护的所有相关中国法律法规。因</w:t>
      </w:r>
      <w:r>
        <w:rPr>
          <w:rFonts w:eastAsia="楷体" w:hint="eastAsia"/>
          <w:sz w:val="20"/>
        </w:rPr>
        <w:t>Vita</w:t>
      </w:r>
      <w:r>
        <w:rPr>
          <w:rFonts w:eastAsia="楷体" w:hint="eastAsia"/>
          <w:sz w:val="20"/>
        </w:rPr>
        <w:t>是</w:t>
      </w:r>
      <w:r>
        <w:rPr>
          <w:rFonts w:eastAsia="楷体"/>
          <w:sz w:val="20"/>
        </w:rPr>
        <w:t>Vita Global Holdings Limited</w:t>
      </w:r>
      <w:r>
        <w:rPr>
          <w:rFonts w:eastAsia="楷体" w:hint="eastAsia"/>
          <w:sz w:val="20"/>
        </w:rPr>
        <w:t>持股公司下属集团公司成员，双方均应遵守数据保护立法，尤其是以下条件：</w:t>
      </w:r>
    </w:p>
    <w:p w:rsidR="00681DDD">
      <w:pPr>
        <w:pStyle w:val="Heading3"/>
        <w:rPr>
          <w:rFonts w:eastAsia="楷体"/>
          <w:sz w:val="20"/>
        </w:rPr>
      </w:pPr>
      <w:r>
        <w:rPr>
          <w:rFonts w:eastAsia="楷体"/>
          <w:sz w:val="20"/>
        </w:rPr>
        <w:t xml:space="preserve">Vita </w:t>
      </w:r>
      <w:r>
        <w:rPr>
          <w:rFonts w:eastAsia="楷体"/>
          <w:sz w:val="20"/>
        </w:rPr>
        <w:t>和买方应</w:t>
      </w:r>
      <w:r>
        <w:rPr>
          <w:rFonts w:eastAsia="楷体" w:hint="eastAsia"/>
          <w:sz w:val="20"/>
        </w:rPr>
        <w:t>妥为遵守</w:t>
      </w:r>
      <w:r>
        <w:rPr>
          <w:rFonts w:eastAsia="楷体"/>
          <w:sz w:val="20"/>
        </w:rPr>
        <w:t>因提供商品和</w:t>
      </w:r>
      <w:r>
        <w:rPr>
          <w:rFonts w:eastAsia="楷体" w:hint="eastAsia"/>
          <w:sz w:val="20"/>
        </w:rPr>
        <w:t>／</w:t>
      </w:r>
      <w:r>
        <w:rPr>
          <w:rFonts w:eastAsia="楷体"/>
          <w:sz w:val="20"/>
        </w:rPr>
        <w:t>或因订单而应当遵守的数据保护立法项下</w:t>
      </w:r>
      <w:r>
        <w:rPr>
          <w:rFonts w:eastAsia="楷体" w:hint="eastAsia"/>
          <w:sz w:val="20"/>
        </w:rPr>
        <w:t>各自所有</w:t>
      </w:r>
      <w:r>
        <w:rPr>
          <w:rFonts w:eastAsia="楷体"/>
          <w:sz w:val="20"/>
        </w:rPr>
        <w:t>义务。</w:t>
      </w:r>
    </w:p>
    <w:p w:rsidR="00681DDD">
      <w:pPr>
        <w:pStyle w:val="Heading3"/>
        <w:rPr>
          <w:sz w:val="20"/>
        </w:rPr>
      </w:pPr>
      <w:bookmarkStart w:id="34" w:name="_Ref31582447"/>
      <w:r>
        <w:rPr>
          <w:rFonts w:eastAsia="楷体"/>
          <w:sz w:val="20"/>
        </w:rPr>
        <w:t>若买方向</w:t>
      </w:r>
      <w:r>
        <w:rPr>
          <w:rFonts w:eastAsia="楷体"/>
          <w:sz w:val="20"/>
        </w:rPr>
        <w:t>Vita</w:t>
      </w:r>
      <w:r>
        <w:rPr>
          <w:rFonts w:eastAsia="楷体"/>
          <w:sz w:val="20"/>
        </w:rPr>
        <w:t>提供任何个人（包括雇员、原雇员或任何其他第三人）的个人数据，由</w:t>
      </w:r>
      <w:r>
        <w:rPr>
          <w:rFonts w:eastAsia="楷体"/>
          <w:sz w:val="20"/>
        </w:rPr>
        <w:t>Vita</w:t>
      </w:r>
      <w:r>
        <w:rPr>
          <w:rFonts w:eastAsia="楷体"/>
          <w:sz w:val="20"/>
        </w:rPr>
        <w:t>代表买方处理，则买方应确保具有处理授权且遵守数据保护立法。</w:t>
      </w:r>
      <w:r>
        <w:rPr>
          <w:rFonts w:eastAsia="楷体" w:hint="eastAsia"/>
          <w:sz w:val="20"/>
        </w:rPr>
        <w:t>若买方违反第</w:t>
      </w:r>
      <w:r>
        <w:rPr>
          <w:rFonts w:eastAsia="楷体"/>
          <w:sz w:val="20"/>
        </w:rPr>
        <w:fldChar w:fldCharType="begin"/>
      </w:r>
      <w:r>
        <w:rPr>
          <w:rFonts w:eastAsia="楷体"/>
          <w:sz w:val="20"/>
        </w:rPr>
        <w:instrText xml:space="preserve"> </w:instrText>
      </w:r>
      <w:r>
        <w:rPr>
          <w:rFonts w:eastAsia="楷体" w:hint="eastAsia"/>
          <w:sz w:val="20"/>
        </w:rPr>
        <w:instrText>REF _Ref31582447 \r \h</w:instrText>
      </w:r>
      <w:r>
        <w:rPr>
          <w:rFonts w:eastAsia="楷体"/>
          <w:sz w:val="20"/>
        </w:rPr>
        <w:instrText xml:space="preserve">  \* MERGEFORMAT </w:instrText>
      </w:r>
      <w:r>
        <w:rPr>
          <w:rFonts w:eastAsia="楷体"/>
          <w:sz w:val="20"/>
        </w:rPr>
        <w:fldChar w:fldCharType="separate"/>
      </w:r>
      <w:r>
        <w:rPr>
          <w:rFonts w:eastAsia="楷体"/>
          <w:sz w:val="20"/>
        </w:rPr>
        <w:t>23.5.2</w:t>
      </w:r>
      <w:r>
        <w:rPr>
          <w:rFonts w:eastAsia="楷体"/>
          <w:sz w:val="20"/>
        </w:rPr>
        <w:fldChar w:fldCharType="end"/>
      </w:r>
      <w:r>
        <w:rPr>
          <w:rFonts w:eastAsia="楷体" w:hint="eastAsia"/>
          <w:sz w:val="20"/>
        </w:rPr>
        <w:t>项条件，导致</w:t>
      </w:r>
      <w:r>
        <w:rPr>
          <w:rFonts w:eastAsia="楷体" w:hint="eastAsia"/>
          <w:sz w:val="20"/>
        </w:rPr>
        <w:t>Vita</w:t>
      </w:r>
      <w:r>
        <w:rPr>
          <w:rFonts w:eastAsia="楷体" w:hint="eastAsia"/>
          <w:sz w:val="20"/>
        </w:rPr>
        <w:t>遭受任何损失、成本、损害赔偿、费用或支出，买方应予补偿。</w:t>
      </w:r>
      <w:bookmarkEnd w:id="34"/>
    </w:p>
    <w:p w:rsidR="00681DDD">
      <w:pPr>
        <w:pStyle w:val="Heading2"/>
        <w:spacing w:line="276" w:lineRule="auto"/>
        <w:rPr>
          <w:rFonts w:eastAsia="楷体"/>
          <w:sz w:val="20"/>
        </w:rPr>
      </w:pPr>
      <w:r>
        <w:rPr>
          <w:rFonts w:eastAsia="楷体"/>
          <w:sz w:val="20"/>
        </w:rPr>
        <w:t>根据订单处理个人数据的详情见订购表格和附件</w:t>
      </w:r>
      <w:r>
        <w:rPr>
          <w:rFonts w:eastAsia="楷体"/>
          <w:sz w:val="20"/>
        </w:rPr>
        <w:t>1</w:t>
      </w:r>
      <w:r>
        <w:rPr>
          <w:rFonts w:eastAsia="楷体"/>
          <w:sz w:val="20"/>
        </w:rPr>
        <w:t>。</w:t>
      </w:r>
    </w:p>
    <w:p w:rsidR="00681DDD">
      <w:pPr>
        <w:pStyle w:val="Heading2"/>
        <w:keepNext/>
        <w:spacing w:line="276" w:lineRule="auto"/>
        <w:rPr>
          <w:rFonts w:eastAsia="楷体"/>
          <w:sz w:val="20"/>
        </w:rPr>
      </w:pPr>
      <w:bookmarkStart w:id="35" w:name="_Ref15589561"/>
      <w:r>
        <w:rPr>
          <w:rFonts w:eastAsia="楷体"/>
          <w:sz w:val="20"/>
        </w:rPr>
        <w:t>但凡买方或</w:t>
      </w:r>
      <w:r>
        <w:rPr>
          <w:rFonts w:eastAsia="楷体"/>
          <w:sz w:val="20"/>
        </w:rPr>
        <w:t>Vita</w:t>
      </w:r>
      <w:r>
        <w:rPr>
          <w:rFonts w:eastAsia="楷体"/>
          <w:sz w:val="20"/>
        </w:rPr>
        <w:t>（</w:t>
      </w:r>
      <w:r>
        <w:rPr>
          <w:rFonts w:eastAsia="楷体"/>
          <w:b/>
          <w:color w:val="00A5E7"/>
          <w:sz w:val="20"/>
        </w:rPr>
        <w:t>“</w:t>
      </w:r>
      <w:r>
        <w:rPr>
          <w:rFonts w:eastAsia="楷体"/>
          <w:b/>
          <w:color w:val="00A5E7"/>
          <w:sz w:val="20"/>
        </w:rPr>
        <w:t>相关处理人</w:t>
      </w:r>
      <w:r>
        <w:rPr>
          <w:rFonts w:eastAsia="楷体"/>
          <w:b/>
          <w:color w:val="00A5E7"/>
          <w:sz w:val="20"/>
        </w:rPr>
        <w:t>”</w:t>
      </w:r>
      <w:r>
        <w:rPr>
          <w:rFonts w:eastAsia="楷体"/>
          <w:sz w:val="20"/>
        </w:rPr>
        <w:t>）充当数据处理人为对方（</w:t>
      </w:r>
      <w:r>
        <w:rPr>
          <w:rFonts w:eastAsia="楷体"/>
          <w:b/>
          <w:color w:val="00A5E7"/>
          <w:sz w:val="20"/>
        </w:rPr>
        <w:t>“</w:t>
      </w:r>
      <w:r>
        <w:rPr>
          <w:rFonts w:eastAsia="楷体"/>
          <w:b/>
          <w:color w:val="00A5E7"/>
          <w:sz w:val="20"/>
        </w:rPr>
        <w:t>相关控制人</w:t>
      </w:r>
      <w:r>
        <w:rPr>
          <w:rFonts w:eastAsia="楷体"/>
          <w:b/>
          <w:color w:val="00A5E7"/>
          <w:sz w:val="20"/>
        </w:rPr>
        <w:t>”</w:t>
      </w:r>
      <w:r>
        <w:rPr>
          <w:rFonts w:eastAsia="楷体"/>
          <w:sz w:val="20"/>
        </w:rPr>
        <w:t>）处理个人数据，则相关处理人应：</w:t>
      </w:r>
    </w:p>
    <w:p w:rsidR="00681DDD">
      <w:pPr>
        <w:pStyle w:val="Heading3"/>
        <w:tabs>
          <w:tab w:val="num" w:pos="2160"/>
        </w:tabs>
        <w:spacing w:line="276" w:lineRule="auto"/>
        <w:ind w:left="2160" w:hanging="720"/>
        <w:rPr>
          <w:rFonts w:eastAsia="楷体"/>
          <w:sz w:val="20"/>
        </w:rPr>
      </w:pPr>
      <w:bookmarkEnd w:id="35"/>
      <w:r>
        <w:rPr>
          <w:rFonts w:eastAsia="楷体"/>
          <w:sz w:val="20"/>
        </w:rPr>
        <w:t>仅仅依据相关控制人的书面指令（包括订单）处理个人数据，旨在提供或接受商品；</w:t>
      </w:r>
    </w:p>
    <w:p w:rsidR="00681DDD">
      <w:pPr>
        <w:pStyle w:val="Heading3"/>
        <w:tabs>
          <w:tab w:val="num" w:pos="2160"/>
        </w:tabs>
        <w:spacing w:line="276" w:lineRule="auto"/>
        <w:ind w:left="2160" w:hanging="720"/>
        <w:rPr>
          <w:rFonts w:eastAsia="楷体"/>
          <w:sz w:val="20"/>
        </w:rPr>
      </w:pPr>
      <w:r>
        <w:rPr>
          <w:rFonts w:eastAsia="楷体"/>
          <w:sz w:val="20"/>
        </w:rPr>
        <w:t>以双方约定方式，按接受商品所需方法，仅处理数据主体分类相关的个人数据；</w:t>
      </w:r>
    </w:p>
    <w:p w:rsidR="00681DDD">
      <w:pPr>
        <w:pStyle w:val="Heading3"/>
        <w:tabs>
          <w:tab w:val="num" w:pos="2160"/>
        </w:tabs>
        <w:spacing w:line="276" w:lineRule="auto"/>
        <w:ind w:left="2160" w:hanging="720"/>
        <w:rPr>
          <w:rFonts w:eastAsia="楷体"/>
          <w:sz w:val="20"/>
        </w:rPr>
      </w:pPr>
      <w:r>
        <w:rPr>
          <w:rFonts w:eastAsia="楷体"/>
          <w:sz w:val="20"/>
        </w:rPr>
        <w:t>采取通用数据保护条例第</w:t>
      </w:r>
      <w:r>
        <w:rPr>
          <w:rFonts w:eastAsia="楷体"/>
          <w:sz w:val="20"/>
        </w:rPr>
        <w:t>32</w:t>
      </w:r>
      <w:r>
        <w:rPr>
          <w:rFonts w:eastAsia="楷体"/>
          <w:sz w:val="20"/>
        </w:rPr>
        <w:t>条规定的所有措施确保个人数据安全；</w:t>
      </w:r>
    </w:p>
    <w:p w:rsidR="00681DDD">
      <w:pPr>
        <w:pStyle w:val="Heading3"/>
        <w:tabs>
          <w:tab w:val="num" w:pos="2160"/>
        </w:tabs>
        <w:spacing w:line="276" w:lineRule="auto"/>
        <w:ind w:left="2160" w:hanging="720"/>
        <w:rPr>
          <w:rFonts w:eastAsia="楷体"/>
          <w:sz w:val="20"/>
        </w:rPr>
      </w:pPr>
      <w:r>
        <w:rPr>
          <w:rFonts w:eastAsia="楷体"/>
          <w:sz w:val="20"/>
        </w:rPr>
        <w:t>采取合理步骤确保享有个人数据访问权限的任</w:t>
      </w:r>
      <w:r>
        <w:rPr>
          <w:rFonts w:eastAsia="楷体"/>
          <w:sz w:val="20"/>
        </w:rPr>
        <w:t>何员工可靠，且个人数据得到保密处理；</w:t>
      </w:r>
    </w:p>
    <w:p w:rsidR="00681DDD">
      <w:pPr>
        <w:pStyle w:val="Heading3"/>
        <w:tabs>
          <w:tab w:val="num" w:pos="2160"/>
        </w:tabs>
        <w:spacing w:line="276" w:lineRule="auto"/>
        <w:ind w:left="2160" w:hanging="720"/>
        <w:rPr>
          <w:rFonts w:eastAsia="楷体"/>
          <w:sz w:val="20"/>
        </w:rPr>
      </w:pPr>
      <w:r>
        <w:rPr>
          <w:rFonts w:eastAsia="楷体"/>
          <w:sz w:val="20"/>
        </w:rPr>
        <w:t>若相关处理人：</w:t>
      </w:r>
    </w:p>
    <w:p w:rsidR="00681DDD">
      <w:pPr>
        <w:pStyle w:val="Heading4"/>
        <w:tabs>
          <w:tab w:val="clear" w:pos="2880"/>
          <w:tab w:val="num" w:pos="3600"/>
        </w:tabs>
        <w:spacing w:line="276" w:lineRule="auto"/>
        <w:ind w:left="3600"/>
        <w:rPr>
          <w:rFonts w:eastAsia="楷体"/>
          <w:sz w:val="20"/>
        </w:rPr>
      </w:pPr>
      <w:bookmarkStart w:id="36" w:name="_Ref15589634"/>
      <w:r>
        <w:rPr>
          <w:rFonts w:eastAsia="楷体"/>
          <w:sz w:val="20"/>
        </w:rPr>
        <w:t>为</w:t>
      </w:r>
      <w:r>
        <w:rPr>
          <w:rFonts w:eastAsia="楷体"/>
          <w:sz w:val="20"/>
        </w:rPr>
        <w:t>Vita</w:t>
      </w:r>
      <w:r>
        <w:rPr>
          <w:rFonts w:eastAsia="楷体"/>
          <w:sz w:val="20"/>
        </w:rPr>
        <w:t>：取得概括授权，得委派第三方（</w:t>
      </w:r>
      <w:r>
        <w:rPr>
          <w:rFonts w:eastAsia="楷体"/>
          <w:b/>
          <w:color w:val="00A5E7"/>
          <w:sz w:val="20"/>
        </w:rPr>
        <w:t>“</w:t>
      </w:r>
      <w:r>
        <w:rPr>
          <w:rFonts w:eastAsia="楷体"/>
          <w:b/>
          <w:color w:val="00A5E7"/>
          <w:sz w:val="20"/>
        </w:rPr>
        <w:t>二级处理人</w:t>
      </w:r>
      <w:r>
        <w:rPr>
          <w:rFonts w:eastAsia="楷体"/>
          <w:b/>
          <w:color w:val="00A5E7"/>
          <w:sz w:val="20"/>
        </w:rPr>
        <w:t>”</w:t>
      </w:r>
      <w:r>
        <w:rPr>
          <w:rFonts w:eastAsia="楷体"/>
          <w:sz w:val="20"/>
        </w:rPr>
        <w:t>）处理个人数据，但应将二级处理人告知买方，并且符合数据保护条例第</w:t>
      </w:r>
      <w:r>
        <w:rPr>
          <w:rFonts w:eastAsia="楷体"/>
          <w:sz w:val="20"/>
        </w:rPr>
        <w:t>28 (2)</w:t>
      </w:r>
      <w:r>
        <w:rPr>
          <w:rFonts w:eastAsia="楷体"/>
          <w:sz w:val="20"/>
        </w:rPr>
        <w:t>条、第</w:t>
      </w:r>
      <w:r>
        <w:rPr>
          <w:rFonts w:eastAsia="楷体"/>
          <w:sz w:val="20"/>
        </w:rPr>
        <w:t>28 (4)</w:t>
      </w:r>
      <w:r>
        <w:rPr>
          <w:rFonts w:eastAsia="楷体"/>
          <w:sz w:val="20"/>
        </w:rPr>
        <w:t>条设定的条件；或</w:t>
      </w:r>
    </w:p>
    <w:p w:rsidR="00681DDD">
      <w:pPr>
        <w:pStyle w:val="Heading4"/>
        <w:tabs>
          <w:tab w:val="clear" w:pos="2880"/>
          <w:tab w:val="num" w:pos="3600"/>
        </w:tabs>
        <w:spacing w:line="276" w:lineRule="auto"/>
        <w:ind w:left="3600"/>
        <w:rPr>
          <w:rFonts w:eastAsia="楷体"/>
          <w:sz w:val="20"/>
        </w:rPr>
      </w:pPr>
      <w:bookmarkStart w:id="37" w:name="_Ref15589644"/>
      <w:bookmarkEnd w:id="36"/>
      <w:r>
        <w:rPr>
          <w:rFonts w:eastAsia="楷体"/>
          <w:sz w:val="20"/>
        </w:rPr>
        <w:t>买方：未经</w:t>
      </w:r>
      <w:r>
        <w:rPr>
          <w:rFonts w:eastAsia="楷体" w:hint="eastAsia"/>
          <w:sz w:val="20"/>
        </w:rPr>
        <w:t>Vita</w:t>
      </w:r>
      <w:r>
        <w:rPr>
          <w:rFonts w:eastAsia="楷体"/>
          <w:sz w:val="20"/>
        </w:rPr>
        <w:t>事先书面同意（同意条件是符合数据保护条例第</w:t>
      </w:r>
      <w:r>
        <w:rPr>
          <w:rFonts w:eastAsia="楷体"/>
          <w:sz w:val="20"/>
        </w:rPr>
        <w:t>28 (2)</w:t>
      </w:r>
      <w:r>
        <w:rPr>
          <w:rFonts w:eastAsia="楷体"/>
          <w:sz w:val="20"/>
        </w:rPr>
        <w:t>条、第</w:t>
      </w:r>
      <w:r>
        <w:rPr>
          <w:rFonts w:eastAsia="楷体"/>
          <w:sz w:val="20"/>
        </w:rPr>
        <w:t>28 (4)</w:t>
      </w:r>
      <w:r>
        <w:rPr>
          <w:rFonts w:eastAsia="楷体"/>
          <w:sz w:val="20"/>
        </w:rPr>
        <w:t>条设定的条件），不得允许任何第三方（</w:t>
      </w:r>
      <w:r>
        <w:rPr>
          <w:rFonts w:eastAsia="楷体"/>
          <w:b/>
          <w:color w:val="00A5E7"/>
          <w:sz w:val="20"/>
        </w:rPr>
        <w:t>“</w:t>
      </w:r>
      <w:r>
        <w:rPr>
          <w:rFonts w:eastAsia="楷体"/>
          <w:b/>
          <w:color w:val="00A5E7"/>
          <w:sz w:val="20"/>
        </w:rPr>
        <w:t>二级处理人</w:t>
      </w:r>
      <w:r>
        <w:rPr>
          <w:rFonts w:eastAsia="楷体"/>
          <w:b/>
          <w:color w:val="00A5E7"/>
          <w:sz w:val="20"/>
        </w:rPr>
        <w:t>”</w:t>
      </w:r>
      <w:r>
        <w:rPr>
          <w:rFonts w:eastAsia="楷体"/>
          <w:sz w:val="20"/>
        </w:rPr>
        <w:t>）处理个人数据；</w:t>
      </w:r>
    </w:p>
    <w:p w:rsidR="00681DDD">
      <w:pPr>
        <w:pStyle w:val="Heading3"/>
        <w:tabs>
          <w:tab w:val="num" w:pos="2160"/>
        </w:tabs>
        <w:spacing w:line="276" w:lineRule="auto"/>
        <w:ind w:left="2160" w:hanging="720"/>
        <w:rPr>
          <w:rFonts w:eastAsia="楷体"/>
          <w:sz w:val="20"/>
        </w:rPr>
      </w:pPr>
      <w:bookmarkStart w:id="38" w:name="_Ref527710838"/>
      <w:bookmarkEnd w:id="37"/>
      <w:r>
        <w:rPr>
          <w:rFonts w:eastAsia="楷体"/>
          <w:sz w:val="20"/>
        </w:rPr>
        <w:t>将数据主体有关其个人数据处理的意见，或者与任何一方根据数据保护条例所负有的个人数据相关义务有关的沟通（包括来自监管部门的意见），及时（在任何情况下均不得迟于五</w:t>
      </w:r>
      <w:r>
        <w:rPr>
          <w:rFonts w:eastAsia="楷体"/>
          <w:sz w:val="20"/>
        </w:rPr>
        <w:t>(5)</w:t>
      </w:r>
      <w:r>
        <w:rPr>
          <w:rFonts w:eastAsia="楷体"/>
          <w:sz w:val="20"/>
        </w:rPr>
        <w:t>个工作日）通知相关控制人；</w:t>
      </w:r>
    </w:p>
    <w:p w:rsidR="00681DDD">
      <w:pPr>
        <w:pStyle w:val="Heading3"/>
        <w:tabs>
          <w:tab w:val="num" w:pos="2160"/>
        </w:tabs>
        <w:spacing w:line="276" w:lineRule="auto"/>
        <w:ind w:left="2160" w:hanging="720"/>
        <w:rPr>
          <w:rFonts w:eastAsia="楷体"/>
          <w:sz w:val="20"/>
        </w:rPr>
      </w:pPr>
      <w:bookmarkEnd w:id="38"/>
      <w:r>
        <w:rPr>
          <w:rFonts w:eastAsia="楷体"/>
          <w:sz w:val="20"/>
        </w:rPr>
        <w:t>将任何个人数据泄漏的情况通知相关控制人，不得有不当延迟。通知应包括相关控制人为履行数据保护立法规定的相关控制人义务而合理要求的所有内容；</w:t>
      </w:r>
    </w:p>
    <w:p w:rsidR="00681DDD">
      <w:pPr>
        <w:pStyle w:val="Heading3"/>
        <w:tabs>
          <w:tab w:val="num" w:pos="2160"/>
        </w:tabs>
        <w:spacing w:line="276" w:lineRule="auto"/>
        <w:ind w:left="2160" w:hanging="720"/>
        <w:rPr>
          <w:rFonts w:eastAsia="楷体"/>
          <w:sz w:val="20"/>
        </w:rPr>
      </w:pPr>
      <w:r>
        <w:rPr>
          <w:rFonts w:eastAsia="楷体"/>
          <w:sz w:val="20"/>
        </w:rPr>
        <w:t>对于在欧洲经济区外处理个人数据的情形，采取必要步骤确保数据符合数据保护立法；</w:t>
      </w:r>
    </w:p>
    <w:p w:rsidR="00681DDD">
      <w:pPr>
        <w:pStyle w:val="Heading3"/>
        <w:tabs>
          <w:tab w:val="num" w:pos="2160"/>
        </w:tabs>
        <w:spacing w:line="276" w:lineRule="auto"/>
        <w:ind w:left="2160" w:hanging="720"/>
        <w:rPr>
          <w:rFonts w:eastAsia="楷体"/>
          <w:sz w:val="20"/>
        </w:rPr>
      </w:pPr>
      <w:bookmarkStart w:id="39" w:name="_Ref520025838"/>
      <w:r>
        <w:rPr>
          <w:rFonts w:eastAsia="楷体"/>
          <w:sz w:val="20"/>
        </w:rPr>
        <w:t>在以合理提前量通知后，允许相关控制人检查、审计相关控制人用于处理个人数据所的设施，以及相关处理人保持的与</w:t>
      </w:r>
      <w:r>
        <w:rPr>
          <w:rFonts w:eastAsia="楷体"/>
          <w:sz w:val="20"/>
        </w:rPr>
        <w:t>上述处理有关的任何记录；</w:t>
      </w:r>
    </w:p>
    <w:p w:rsidR="00681DDD">
      <w:pPr>
        <w:pStyle w:val="Heading3"/>
        <w:tabs>
          <w:tab w:val="num" w:pos="2160"/>
        </w:tabs>
        <w:spacing w:line="276" w:lineRule="auto"/>
        <w:ind w:left="2160" w:hanging="720"/>
        <w:rPr>
          <w:rFonts w:eastAsia="楷体"/>
          <w:sz w:val="20"/>
        </w:rPr>
      </w:pPr>
      <w:bookmarkEnd w:id="39"/>
      <w:r>
        <w:rPr>
          <w:rFonts w:eastAsia="楷体"/>
          <w:sz w:val="20"/>
        </w:rPr>
        <w:t>针对以下情形，应相关控制人合理要求，提供任何合理协助：</w:t>
      </w:r>
      <w:r>
        <w:rPr>
          <w:rFonts w:eastAsia="楷体" w:hint="eastAsia"/>
          <w:sz w:val="20"/>
        </w:rPr>
        <w:t>(</w:t>
      </w:r>
      <w:r>
        <w:rPr>
          <w:rFonts w:eastAsia="楷体"/>
          <w:sz w:val="20"/>
        </w:rPr>
        <w:t>i</w:t>
      </w:r>
      <w:r>
        <w:rPr>
          <w:rFonts w:eastAsia="楷体"/>
          <w:sz w:val="20"/>
        </w:rPr>
        <w:t>)</w:t>
      </w:r>
      <w:r>
        <w:rPr>
          <w:rFonts w:eastAsia="楷体"/>
          <w:sz w:val="20"/>
        </w:rPr>
        <w:t>根据第</w:t>
      </w:r>
      <w:r>
        <w:rPr>
          <w:rFonts w:eastAsia="楷体"/>
          <w:sz w:val="20"/>
        </w:rPr>
        <w:fldChar w:fldCharType="begin"/>
      </w:r>
      <w:r>
        <w:rPr>
          <w:rFonts w:eastAsia="楷体"/>
          <w:sz w:val="20"/>
        </w:rPr>
        <w:instrText xml:space="preserve"> REF _Ref527710838 \r \h  \* MERGEFORMAT </w:instrText>
      </w:r>
      <w:r>
        <w:rPr>
          <w:rFonts w:eastAsia="楷体"/>
          <w:sz w:val="20"/>
        </w:rPr>
        <w:fldChar w:fldCharType="separate"/>
      </w:r>
      <w:r>
        <w:rPr>
          <w:rFonts w:eastAsia="楷体"/>
          <w:sz w:val="20"/>
        </w:rPr>
        <w:t>23.7.6</w:t>
      </w:r>
      <w:r>
        <w:rPr>
          <w:rFonts w:eastAsia="楷体"/>
          <w:sz w:val="20"/>
        </w:rPr>
        <w:fldChar w:fldCharType="end"/>
      </w:r>
      <w:r>
        <w:rPr>
          <w:rFonts w:eastAsia="楷体"/>
          <w:sz w:val="20"/>
        </w:rPr>
        <w:t>项条件收到的任何沟通内容，以及相关控制人直接收到的任何相当通信；</w:t>
      </w:r>
      <w:r>
        <w:rPr>
          <w:rFonts w:eastAsia="楷体" w:hint="eastAsia"/>
          <w:sz w:val="20"/>
        </w:rPr>
        <w:t>以及</w:t>
      </w:r>
      <w:r>
        <w:rPr>
          <w:rFonts w:eastAsia="楷体" w:hint="eastAsia"/>
          <w:sz w:val="20"/>
        </w:rPr>
        <w:t>(</w:t>
      </w:r>
      <w:r>
        <w:rPr>
          <w:rFonts w:eastAsia="楷体"/>
          <w:sz w:val="20"/>
        </w:rPr>
        <w:t xml:space="preserve">ii) </w:t>
      </w:r>
      <w:r>
        <w:rPr>
          <w:rFonts w:eastAsia="楷体"/>
          <w:sz w:val="20"/>
        </w:rPr>
        <w:t>任何个人数据泄漏，包括按相关控制人要求采取任何适当技术和组织措施</w:t>
      </w:r>
      <w:r>
        <w:rPr>
          <w:rFonts w:eastAsia="楷体" w:hint="eastAsia"/>
          <w:sz w:val="20"/>
        </w:rPr>
        <w:t>；并且</w:t>
      </w:r>
    </w:p>
    <w:p w:rsidR="00681DDD">
      <w:pPr>
        <w:pStyle w:val="Heading3"/>
        <w:tabs>
          <w:tab w:val="num" w:pos="2160"/>
        </w:tabs>
        <w:spacing w:line="276" w:lineRule="auto"/>
        <w:ind w:left="2160" w:hanging="720"/>
        <w:rPr>
          <w:rFonts w:eastAsia="楷体"/>
          <w:sz w:val="20"/>
        </w:rPr>
      </w:pPr>
      <w:r>
        <w:rPr>
          <w:rFonts w:eastAsia="楷体"/>
          <w:sz w:val="20"/>
        </w:rPr>
        <w:t>在订单终止或期满后立即停止处理个人数据，并</w:t>
      </w:r>
      <w:r>
        <w:rPr>
          <w:rFonts w:eastAsia="楷体"/>
          <w:sz w:val="20"/>
        </w:rPr>
        <w:t>按照相关控制人要求返还或者安全删除个人数据。</w:t>
      </w:r>
    </w:p>
    <w:p w:rsidR="00681DDD">
      <w:pPr>
        <w:pStyle w:val="Heading1"/>
        <w:spacing w:line="276" w:lineRule="auto"/>
        <w:ind w:firstLine="0"/>
        <w:rPr>
          <w:rFonts w:eastAsia="楷体"/>
          <w:color w:val="00A5E7"/>
          <w:sz w:val="20"/>
          <w:u w:val="none"/>
        </w:rPr>
      </w:pPr>
      <w:bookmarkStart w:id="40" w:name="_Ref522043653"/>
      <w:r>
        <w:rPr>
          <w:rFonts w:eastAsia="楷体"/>
          <w:color w:val="00A5E7"/>
          <w:sz w:val="20"/>
          <w:u w:val="none"/>
        </w:rPr>
        <w:t>健康与安全</w:t>
      </w:r>
    </w:p>
    <w:p w:rsidR="00681DDD">
      <w:pPr>
        <w:pStyle w:val="Heading2"/>
        <w:rPr>
          <w:rFonts w:eastAsia="楷体"/>
          <w:sz w:val="20"/>
        </w:rPr>
      </w:pPr>
      <w:r>
        <w:rPr>
          <w:rFonts w:eastAsia="楷体" w:hint="eastAsia"/>
          <w:sz w:val="20"/>
        </w:rPr>
        <w:t>若买方未完全遵守</w:t>
      </w:r>
      <w:r>
        <w:rPr>
          <w:rFonts w:eastAsia="楷体" w:hint="eastAsia"/>
          <w:sz w:val="20"/>
        </w:rPr>
        <w:t>Vita</w:t>
      </w:r>
      <w:r>
        <w:rPr>
          <w:rFonts w:eastAsia="楷体" w:hint="eastAsia"/>
          <w:sz w:val="20"/>
        </w:rPr>
        <w:t>告知买方，或者在</w:t>
      </w:r>
      <w:r>
        <w:rPr>
          <w:rFonts w:eastAsia="楷体" w:hint="eastAsia"/>
          <w:sz w:val="20"/>
        </w:rPr>
        <w:t>Vita</w:t>
      </w:r>
      <w:r>
        <w:rPr>
          <w:rFonts w:eastAsia="楷体" w:hint="eastAsia"/>
          <w:sz w:val="20"/>
        </w:rPr>
        <w:t>最新贸易文献中记载或提及的相关安全预防和运输、处置、存储或加工指令（可根据</w:t>
      </w:r>
      <w:r>
        <w:rPr>
          <w:rFonts w:eastAsia="楷体" w:hint="eastAsia"/>
          <w:sz w:val="20"/>
        </w:rPr>
        <w:t>Vita</w:t>
      </w:r>
      <w:r>
        <w:rPr>
          <w:rFonts w:eastAsia="楷体" w:hint="eastAsia"/>
          <w:sz w:val="20"/>
        </w:rPr>
        <w:t>为适应特定情况或要求所提出的任何建议而修改），</w:t>
      </w:r>
      <w:r>
        <w:rPr>
          <w:rFonts w:eastAsia="楷体" w:hint="eastAsia"/>
          <w:sz w:val="20"/>
        </w:rPr>
        <w:t>Vita</w:t>
      </w:r>
      <w:r>
        <w:rPr>
          <w:rFonts w:eastAsia="楷体" w:hint="eastAsia"/>
          <w:sz w:val="20"/>
        </w:rPr>
        <w:t>无需就此承担责任；并且，若买方未遵守上述指令导致</w:t>
      </w:r>
      <w:r>
        <w:rPr>
          <w:rFonts w:eastAsia="楷体" w:hint="eastAsia"/>
          <w:sz w:val="20"/>
        </w:rPr>
        <w:t>Vita</w:t>
      </w:r>
      <w:r>
        <w:rPr>
          <w:rFonts w:eastAsia="楷体" w:hint="eastAsia"/>
          <w:sz w:val="20"/>
        </w:rPr>
        <w:t>发生任何成本、索赔或要求，买方应就此补偿</w:t>
      </w:r>
      <w:r>
        <w:rPr>
          <w:rFonts w:eastAsia="楷体" w:hint="eastAsia"/>
          <w:sz w:val="20"/>
        </w:rPr>
        <w:t>Vita</w:t>
      </w:r>
      <w:r>
        <w:rPr>
          <w:rFonts w:eastAsia="楷体" w:hint="eastAsia"/>
          <w:sz w:val="20"/>
        </w:rPr>
        <w:t>。</w:t>
      </w:r>
    </w:p>
    <w:p w:rsidR="00681DDD">
      <w:pPr>
        <w:pStyle w:val="Heading2"/>
        <w:rPr>
          <w:rFonts w:eastAsia="楷体"/>
          <w:sz w:val="20"/>
        </w:rPr>
      </w:pPr>
      <w:r>
        <w:rPr>
          <w:rFonts w:eastAsia="楷体" w:hint="eastAsia"/>
          <w:sz w:val="20"/>
        </w:rPr>
        <w:t>可从</w:t>
      </w:r>
      <w:r>
        <w:rPr>
          <w:rFonts w:eastAsia="楷体" w:hint="eastAsia"/>
          <w:sz w:val="20"/>
        </w:rPr>
        <w:t>Vita</w:t>
      </w:r>
      <w:r>
        <w:rPr>
          <w:rFonts w:eastAsia="楷体" w:hint="eastAsia"/>
          <w:sz w:val="20"/>
        </w:rPr>
        <w:t>获得有关商品安全使用的介绍。</w:t>
      </w:r>
    </w:p>
    <w:p w:rsidR="00681DDD">
      <w:pPr>
        <w:pStyle w:val="Heading2"/>
        <w:rPr>
          <w:rFonts w:eastAsia="楷体"/>
          <w:sz w:val="20"/>
        </w:rPr>
      </w:pPr>
      <w:r>
        <w:rPr>
          <w:rFonts w:eastAsia="楷体"/>
          <w:sz w:val="20"/>
        </w:rPr>
        <w:t>买方应：</w:t>
      </w:r>
    </w:p>
    <w:p w:rsidR="00681DDD">
      <w:pPr>
        <w:pStyle w:val="Heading3"/>
        <w:tabs>
          <w:tab w:val="num" w:pos="2160"/>
        </w:tabs>
        <w:spacing w:line="276" w:lineRule="auto"/>
        <w:ind w:left="2160" w:hanging="720"/>
        <w:rPr>
          <w:rFonts w:eastAsia="楷体"/>
          <w:sz w:val="20"/>
        </w:rPr>
      </w:pPr>
      <w:r>
        <w:rPr>
          <w:rFonts w:eastAsia="楷体"/>
          <w:sz w:val="20"/>
        </w:rPr>
        <w:t>在买方场所按要求采取措施确保商品安全使用；</w:t>
      </w:r>
    </w:p>
    <w:p w:rsidR="00681DDD">
      <w:pPr>
        <w:pStyle w:val="Heading3"/>
        <w:tabs>
          <w:tab w:val="num" w:pos="2160"/>
        </w:tabs>
        <w:spacing w:line="276" w:lineRule="auto"/>
        <w:ind w:left="2160" w:hanging="720"/>
        <w:rPr>
          <w:rFonts w:eastAsia="楷体"/>
          <w:sz w:val="20"/>
        </w:rPr>
      </w:pPr>
      <w:r>
        <w:rPr>
          <w:rFonts w:eastAsia="楷体"/>
          <w:sz w:val="20"/>
        </w:rPr>
        <w:t>遵守影响商品处置与加工的任何现行国家或地方规定；并且</w:t>
      </w:r>
    </w:p>
    <w:p w:rsidR="00681DDD">
      <w:pPr>
        <w:pStyle w:val="Heading3"/>
        <w:tabs>
          <w:tab w:val="num" w:pos="2160"/>
        </w:tabs>
        <w:spacing w:line="276" w:lineRule="auto"/>
        <w:ind w:left="2160" w:hanging="720"/>
        <w:rPr>
          <w:rFonts w:eastAsia="楷体"/>
          <w:sz w:val="20"/>
        </w:rPr>
      </w:pPr>
      <w:r>
        <w:rPr>
          <w:rFonts w:eastAsia="楷体"/>
          <w:sz w:val="20"/>
        </w:rPr>
        <w:t>采取有效措施向买方客户和最终用户告知健康提醒措施，并在必要时更换商品标签。</w:t>
      </w:r>
    </w:p>
    <w:p w:rsidR="00681DDD">
      <w:pPr>
        <w:pStyle w:val="Heading1"/>
        <w:spacing w:line="276" w:lineRule="auto"/>
        <w:ind w:firstLine="0"/>
        <w:rPr>
          <w:rFonts w:eastAsia="楷体"/>
          <w:color w:val="00A5E7"/>
          <w:sz w:val="20"/>
          <w:u w:val="none"/>
        </w:rPr>
      </w:pPr>
      <w:r>
        <w:rPr>
          <w:rFonts w:eastAsia="楷体"/>
          <w:color w:val="00A5E7"/>
          <w:sz w:val="20"/>
          <w:u w:val="none"/>
        </w:rPr>
        <w:t>反贿赂反腐败</w:t>
      </w:r>
      <w:bookmarkEnd w:id="40"/>
    </w:p>
    <w:p w:rsidR="00681DDD">
      <w:pPr>
        <w:numPr>
          <w:ilvl w:val="1"/>
          <w:numId w:val="2"/>
        </w:numPr>
        <w:tabs>
          <w:tab w:val="clear" w:pos="720"/>
          <w:tab w:val="left" w:pos="1440"/>
        </w:tabs>
        <w:overflowPunct/>
        <w:autoSpaceDE/>
        <w:autoSpaceDN/>
        <w:spacing w:line="276" w:lineRule="auto"/>
        <w:ind w:left="1440"/>
        <w:textAlignment w:val="auto"/>
        <w:outlineLvl w:val="1"/>
        <w:rPr>
          <w:rFonts w:ascii="Arial" w:eastAsia="楷体" w:hAnsi="Arial" w:cs="Arial"/>
          <w:sz w:val="20"/>
          <w:lang w:eastAsia="zh-CN"/>
        </w:rPr>
      </w:pPr>
      <w:r>
        <w:rPr>
          <w:rFonts w:ascii="Arial" w:eastAsia="楷体" w:hAnsi="Arial" w:cs="Arial"/>
          <w:sz w:val="20"/>
          <w:lang w:eastAsia="zh-CN"/>
        </w:rPr>
        <w:t>买方应采取以下措施，并应督促其全体雇员、员工、管理人员以及第三方、承包商、工人、代理人和顾问采取以下措施：</w:t>
      </w:r>
    </w:p>
    <w:p w:rsidR="00681DDD">
      <w:pPr>
        <w:numPr>
          <w:ilvl w:val="2"/>
          <w:numId w:val="2"/>
        </w:numPr>
        <w:tabs>
          <w:tab w:val="clear" w:pos="1800"/>
          <w:tab w:val="num" w:pos="2430"/>
        </w:tabs>
        <w:overflowPunct/>
        <w:autoSpaceDE/>
        <w:autoSpaceDN/>
        <w:spacing w:line="276" w:lineRule="auto"/>
        <w:ind w:left="2430" w:hanging="990"/>
        <w:textAlignment w:val="auto"/>
        <w:outlineLvl w:val="2"/>
        <w:rPr>
          <w:rFonts w:ascii="Arial" w:eastAsia="楷体" w:hAnsi="Arial" w:cs="Arial"/>
          <w:sz w:val="20"/>
          <w:lang w:eastAsia="zh-CN"/>
        </w:rPr>
      </w:pPr>
      <w:r>
        <w:rPr>
          <w:rFonts w:ascii="Arial" w:eastAsia="楷体" w:hAnsi="Arial" w:cs="Arial"/>
          <w:sz w:val="20"/>
          <w:lang w:eastAsia="zh-CN"/>
        </w:rPr>
        <w:t>遵守有关反贿赂反腐败的所有适用法律、制定法、法规、指令和规范，包括但不限于英国</w:t>
      </w:r>
      <w:r>
        <w:rPr>
          <w:rFonts w:ascii="Arial" w:eastAsia="楷体" w:hAnsi="Arial" w:cs="Arial"/>
          <w:sz w:val="20"/>
          <w:lang w:eastAsia="zh-CN"/>
        </w:rPr>
        <w:t>2010</w:t>
      </w:r>
      <w:r>
        <w:rPr>
          <w:rFonts w:ascii="Arial" w:eastAsia="楷体" w:hAnsi="Arial" w:cs="Arial"/>
          <w:sz w:val="20"/>
          <w:lang w:eastAsia="zh-CN"/>
        </w:rPr>
        <w:t>年《反贿赂法》、美国</w:t>
      </w:r>
      <w:r>
        <w:rPr>
          <w:rFonts w:ascii="Arial" w:eastAsia="楷体" w:hAnsi="Arial" w:cs="Arial"/>
          <w:sz w:val="20"/>
          <w:lang w:eastAsia="zh-CN"/>
        </w:rPr>
        <w:t>1977</w:t>
      </w:r>
      <w:r>
        <w:rPr>
          <w:rFonts w:ascii="Arial" w:eastAsia="楷体" w:hAnsi="Arial" w:cs="Arial"/>
          <w:sz w:val="20"/>
          <w:lang w:eastAsia="zh-CN"/>
        </w:rPr>
        <w:t>年《海外反腐败法》，以及根据经济合作与发展组织《关于在国际商业交易中打击贿赂外国公职人员的公约》制定的法律；以及</w:t>
      </w:r>
    </w:p>
    <w:p w:rsidR="00681DDD">
      <w:pPr>
        <w:numPr>
          <w:ilvl w:val="2"/>
          <w:numId w:val="2"/>
        </w:numPr>
        <w:tabs>
          <w:tab w:val="clear" w:pos="1800"/>
          <w:tab w:val="num" w:pos="2430"/>
        </w:tabs>
        <w:overflowPunct/>
        <w:autoSpaceDE/>
        <w:autoSpaceDN/>
        <w:spacing w:line="276" w:lineRule="auto"/>
        <w:ind w:left="2430" w:hanging="990"/>
        <w:textAlignment w:val="auto"/>
        <w:outlineLvl w:val="2"/>
        <w:rPr>
          <w:rFonts w:ascii="Arial" w:eastAsia="楷体" w:hAnsi="Arial" w:cs="Arial"/>
          <w:sz w:val="20"/>
          <w:lang w:eastAsia="zh-CN"/>
        </w:rPr>
      </w:pPr>
      <w:r>
        <w:rPr>
          <w:rFonts w:ascii="Arial" w:eastAsia="楷体" w:hAnsi="Arial" w:cs="Arial"/>
          <w:sz w:val="20"/>
          <w:lang w:eastAsia="zh-CN"/>
        </w:rPr>
        <w:t>遵守</w:t>
      </w:r>
      <w:r>
        <w:rPr>
          <w:rFonts w:ascii="Arial" w:eastAsia="楷体" w:hAnsi="Arial" w:cs="Arial"/>
          <w:sz w:val="20"/>
          <w:lang w:eastAsia="zh-CN"/>
        </w:rPr>
        <w:t>Vita</w:t>
      </w:r>
      <w:r>
        <w:rPr>
          <w:rFonts w:ascii="Arial" w:eastAsia="楷体" w:hAnsi="Arial" w:cs="Arial"/>
          <w:sz w:val="20"/>
          <w:lang w:eastAsia="zh-CN"/>
        </w:rPr>
        <w:t>不定期更新的</w:t>
      </w:r>
      <w:r>
        <w:rPr>
          <w:rFonts w:ascii="Arial" w:eastAsia="楷体" w:hAnsi="Arial" w:cs="Arial"/>
          <w:sz w:val="20"/>
          <w:lang w:eastAsia="zh-CN"/>
        </w:rPr>
        <w:t>Vita</w:t>
      </w:r>
      <w:r>
        <w:rPr>
          <w:rFonts w:ascii="Arial" w:eastAsia="楷体" w:hAnsi="Arial" w:cs="Arial"/>
          <w:sz w:val="20"/>
          <w:lang w:eastAsia="zh-CN"/>
        </w:rPr>
        <w:t>《采购制度》。</w:t>
      </w:r>
    </w:p>
    <w:p w:rsidR="00681DDD">
      <w:pPr>
        <w:numPr>
          <w:ilvl w:val="1"/>
          <w:numId w:val="2"/>
        </w:numPr>
        <w:tabs>
          <w:tab w:val="clear" w:pos="720"/>
          <w:tab w:val="num" w:pos="1440"/>
        </w:tabs>
        <w:overflowPunct/>
        <w:autoSpaceDE/>
        <w:autoSpaceDN/>
        <w:spacing w:line="276" w:lineRule="auto"/>
        <w:ind w:left="1440"/>
        <w:textAlignment w:val="auto"/>
        <w:outlineLvl w:val="1"/>
        <w:rPr>
          <w:rFonts w:ascii="Arial" w:eastAsia="楷体" w:hAnsi="Arial" w:cs="Arial"/>
          <w:sz w:val="20"/>
          <w:lang w:eastAsia="zh-CN"/>
        </w:rPr>
      </w:pPr>
      <w:r>
        <w:rPr>
          <w:rFonts w:ascii="Arial" w:eastAsia="楷体" w:hAnsi="Arial" w:cs="Arial"/>
          <w:sz w:val="20"/>
          <w:lang w:eastAsia="zh-CN"/>
        </w:rPr>
        <w:t>买方违反第</w:t>
      </w:r>
      <w:r>
        <w:rPr>
          <w:rFonts w:ascii="Arial" w:eastAsia="楷体" w:hAnsi="Arial" w:cs="Arial"/>
          <w:sz w:val="20"/>
          <w:lang w:eastAsia="zh-CN"/>
        </w:rPr>
        <w:fldChar w:fldCharType="begin"/>
      </w:r>
      <w:r>
        <w:rPr>
          <w:rFonts w:ascii="Arial" w:eastAsia="楷体" w:hAnsi="Arial" w:cs="Arial"/>
          <w:sz w:val="20"/>
          <w:lang w:eastAsia="zh-CN"/>
        </w:rPr>
        <w:instrText xml:space="preserve"> REF _Ref522043653 \w \h  \* MERGEFORMAT </w:instrText>
      </w:r>
      <w:r>
        <w:rPr>
          <w:rFonts w:ascii="Arial" w:eastAsia="楷体" w:hAnsi="Arial" w:cs="Arial"/>
          <w:sz w:val="20"/>
          <w:lang w:eastAsia="zh-CN"/>
        </w:rPr>
        <w:fldChar w:fldCharType="separate"/>
      </w:r>
      <w:r>
        <w:rPr>
          <w:rFonts w:ascii="Arial" w:eastAsia="楷体" w:hAnsi="Arial" w:cs="Arial"/>
          <w:sz w:val="20"/>
          <w:lang w:eastAsia="zh-CN"/>
        </w:rPr>
        <w:t>24</w:t>
      </w:r>
      <w:r>
        <w:rPr>
          <w:rFonts w:ascii="Arial" w:eastAsia="楷体" w:hAnsi="Arial" w:cs="Arial"/>
          <w:sz w:val="20"/>
          <w:lang w:eastAsia="zh-CN"/>
        </w:rPr>
        <w:fldChar w:fldCharType="end"/>
      </w:r>
      <w:r>
        <w:rPr>
          <w:rFonts w:ascii="Arial" w:eastAsia="楷体" w:hAnsi="Arial" w:cs="Arial"/>
          <w:sz w:val="20"/>
          <w:lang w:eastAsia="zh-CN"/>
        </w:rPr>
        <w:t>项条件的，视为买方根本性违反订单。</w:t>
      </w:r>
    </w:p>
    <w:p w:rsidR="00681DDD">
      <w:pPr>
        <w:keepNext/>
        <w:numPr>
          <w:ilvl w:val="0"/>
          <w:numId w:val="2"/>
        </w:numPr>
        <w:overflowPunct/>
        <w:autoSpaceDE/>
        <w:autoSpaceDN/>
        <w:spacing w:line="276" w:lineRule="auto"/>
        <w:ind w:firstLine="0"/>
        <w:textAlignment w:val="auto"/>
        <w:outlineLvl w:val="0"/>
        <w:rPr>
          <w:rFonts w:ascii="Arial" w:eastAsia="楷体" w:hAnsi="Arial" w:cs="Arial"/>
          <w:b/>
          <w:color w:val="00A5E7"/>
          <w:sz w:val="20"/>
          <w:lang w:eastAsia="zh-CN"/>
        </w:rPr>
      </w:pPr>
      <w:bookmarkStart w:id="41" w:name="_Ref521939722"/>
      <w:r>
        <w:rPr>
          <w:rFonts w:ascii="Arial" w:eastAsia="楷体" w:hAnsi="Arial" w:cs="Arial"/>
          <w:b/>
          <w:bCs/>
          <w:color w:val="00A5E7"/>
          <w:sz w:val="20"/>
          <w:lang w:eastAsia="zh-CN"/>
        </w:rPr>
        <w:t>反奴役</w:t>
      </w:r>
      <w:bookmarkEnd w:id="41"/>
      <w:r>
        <w:rPr>
          <w:rFonts w:ascii="Arial" w:eastAsia="楷体" w:hAnsi="Arial" w:cs="Arial"/>
          <w:b/>
          <w:bCs/>
          <w:color w:val="00A5E7"/>
          <w:sz w:val="20"/>
          <w:lang w:eastAsia="zh-CN"/>
        </w:rPr>
        <w:t xml:space="preserve"> </w:t>
      </w:r>
    </w:p>
    <w:p w:rsidR="00681DDD">
      <w:pPr>
        <w:numPr>
          <w:ilvl w:val="1"/>
          <w:numId w:val="2"/>
        </w:numPr>
        <w:tabs>
          <w:tab w:val="clear" w:pos="720"/>
          <w:tab w:val="num" w:pos="1440"/>
        </w:tabs>
        <w:overflowPunct/>
        <w:autoSpaceDE/>
        <w:autoSpaceDN/>
        <w:spacing w:line="276" w:lineRule="auto"/>
        <w:ind w:firstLine="0"/>
        <w:textAlignment w:val="auto"/>
        <w:outlineLvl w:val="1"/>
        <w:rPr>
          <w:rFonts w:ascii="Arial" w:eastAsia="楷体" w:hAnsi="Arial" w:cs="Arial"/>
          <w:sz w:val="20"/>
          <w:lang w:eastAsia="zh-CN"/>
        </w:rPr>
      </w:pPr>
      <w:bookmarkStart w:id="42" w:name="_Ref531880645"/>
      <w:bookmarkStart w:id="43" w:name="_Ref481777001"/>
      <w:r>
        <w:rPr>
          <w:rFonts w:ascii="Arial" w:eastAsia="楷体" w:hAnsi="Arial" w:cs="Arial"/>
          <w:sz w:val="20"/>
          <w:lang w:eastAsia="zh-CN"/>
        </w:rPr>
        <w:t>任何一方均不得有任何行为任何构成以下情形：</w:t>
      </w:r>
    </w:p>
    <w:p w:rsidR="00681DDD">
      <w:pPr>
        <w:numPr>
          <w:ilvl w:val="2"/>
          <w:numId w:val="2"/>
        </w:numPr>
        <w:tabs>
          <w:tab w:val="clear" w:pos="1800"/>
          <w:tab w:val="num" w:pos="2430"/>
        </w:tabs>
        <w:overflowPunct/>
        <w:autoSpaceDE/>
        <w:autoSpaceDN/>
        <w:spacing w:line="276" w:lineRule="auto"/>
        <w:ind w:left="2430" w:hanging="990"/>
        <w:textAlignment w:val="auto"/>
        <w:outlineLvl w:val="2"/>
        <w:rPr>
          <w:rFonts w:ascii="Arial" w:eastAsia="楷体" w:hAnsi="Arial" w:cs="Arial"/>
          <w:sz w:val="20"/>
          <w:lang w:eastAsia="zh-CN"/>
        </w:rPr>
      </w:pPr>
      <w:bookmarkStart w:id="44" w:name="_Ref521938474"/>
      <w:bookmarkEnd w:id="42"/>
      <w:r>
        <w:rPr>
          <w:rFonts w:ascii="Arial" w:eastAsia="楷体" w:hAnsi="Arial" w:cs="Arial"/>
          <w:sz w:val="20"/>
          <w:lang w:eastAsia="zh-CN"/>
        </w:rPr>
        <w:t>蓄奴</w:t>
      </w:r>
      <w:r>
        <w:rPr>
          <w:rFonts w:ascii="Arial" w:eastAsia="楷体" w:hAnsi="Arial" w:cs="Arial"/>
          <w:sz w:val="20"/>
          <w:lang w:eastAsia="zh-CN"/>
        </w:rPr>
        <w:t>(slavery)</w:t>
      </w:r>
      <w:r>
        <w:rPr>
          <w:rFonts w:ascii="Arial" w:eastAsia="楷体" w:hAnsi="Arial" w:cs="Arial"/>
          <w:sz w:val="20"/>
          <w:lang w:eastAsia="zh-CN"/>
        </w:rPr>
        <w:t>或奴役</w:t>
      </w:r>
      <w:r>
        <w:rPr>
          <w:rFonts w:ascii="Arial" w:eastAsia="楷体" w:hAnsi="Arial" w:cs="Arial"/>
          <w:sz w:val="20"/>
          <w:lang w:eastAsia="zh-CN"/>
        </w:rPr>
        <w:t>(servitude)</w:t>
      </w:r>
      <w:r>
        <w:rPr>
          <w:rFonts w:ascii="Arial" w:eastAsia="楷体" w:hAnsi="Arial" w:cs="Arial"/>
          <w:sz w:val="20"/>
          <w:lang w:eastAsia="zh-CN"/>
        </w:rPr>
        <w:t>（均根据</w:t>
      </w:r>
      <w:r>
        <w:rPr>
          <w:rFonts w:ascii="Arial" w:eastAsia="楷体" w:hAnsi="Arial" w:cs="Arial"/>
          <w:sz w:val="20"/>
          <w:lang w:eastAsia="zh-CN"/>
        </w:rPr>
        <w:t>1950</w:t>
      </w:r>
      <w:r>
        <w:rPr>
          <w:rFonts w:ascii="Arial" w:eastAsia="楷体" w:hAnsi="Arial" w:cs="Arial"/>
          <w:sz w:val="20"/>
          <w:lang w:eastAsia="zh-CN"/>
        </w:rPr>
        <w:t>年</w:t>
      </w:r>
      <w:r>
        <w:rPr>
          <w:rFonts w:ascii="Arial" w:eastAsia="楷体" w:hAnsi="Arial" w:cs="Arial"/>
          <w:sz w:val="20"/>
          <w:lang w:eastAsia="zh-CN"/>
        </w:rPr>
        <w:t>11</w:t>
      </w:r>
      <w:r>
        <w:rPr>
          <w:rFonts w:ascii="Arial" w:eastAsia="楷体" w:hAnsi="Arial" w:cs="Arial"/>
          <w:sz w:val="20"/>
          <w:lang w:eastAsia="zh-CN"/>
        </w:rPr>
        <w:t>月</w:t>
      </w:r>
      <w:r>
        <w:rPr>
          <w:rFonts w:ascii="Arial" w:eastAsia="楷体" w:hAnsi="Arial" w:cs="Arial"/>
          <w:sz w:val="20"/>
          <w:lang w:eastAsia="zh-CN"/>
        </w:rPr>
        <w:t>4</w:t>
      </w:r>
      <w:r>
        <w:rPr>
          <w:rFonts w:ascii="Arial" w:eastAsia="楷体" w:hAnsi="Arial" w:cs="Arial"/>
          <w:sz w:val="20"/>
          <w:lang w:eastAsia="zh-CN"/>
        </w:rPr>
        <w:t>日欧洲人权公约（韩其修订）第</w:t>
      </w:r>
      <w:r>
        <w:rPr>
          <w:rFonts w:ascii="Arial" w:eastAsia="楷体" w:hAnsi="Arial" w:cs="Arial"/>
          <w:sz w:val="20"/>
          <w:lang w:eastAsia="zh-CN"/>
        </w:rPr>
        <w:t>4</w:t>
      </w:r>
      <w:r>
        <w:rPr>
          <w:rFonts w:ascii="Arial" w:eastAsia="楷体" w:hAnsi="Arial" w:cs="Arial"/>
          <w:sz w:val="20"/>
          <w:lang w:eastAsia="zh-CN"/>
        </w:rPr>
        <w:t>条解释）；</w:t>
      </w:r>
    </w:p>
    <w:p w:rsidR="00681DDD">
      <w:pPr>
        <w:numPr>
          <w:ilvl w:val="2"/>
          <w:numId w:val="2"/>
        </w:numPr>
        <w:tabs>
          <w:tab w:val="clear" w:pos="1800"/>
          <w:tab w:val="num" w:pos="2430"/>
        </w:tabs>
        <w:overflowPunct/>
        <w:autoSpaceDE/>
        <w:autoSpaceDN/>
        <w:spacing w:line="276" w:lineRule="auto"/>
        <w:ind w:left="2430" w:hanging="990"/>
        <w:textAlignment w:val="auto"/>
        <w:outlineLvl w:val="2"/>
        <w:rPr>
          <w:rFonts w:ascii="Arial" w:eastAsia="楷体" w:hAnsi="Arial" w:cs="Arial"/>
          <w:sz w:val="20"/>
          <w:lang w:eastAsia="zh-CN"/>
        </w:rPr>
      </w:pPr>
      <w:bookmarkEnd w:id="44"/>
      <w:r>
        <w:rPr>
          <w:rFonts w:ascii="Arial" w:eastAsia="楷体" w:hAnsi="Arial" w:cs="Arial"/>
          <w:sz w:val="20"/>
          <w:lang w:eastAsia="zh-CN"/>
        </w:rPr>
        <w:t>强迫或被迫劳动（定义依据国际劳工组织</w:t>
      </w:r>
      <w:r>
        <w:rPr>
          <w:rFonts w:ascii="Arial" w:eastAsia="楷体" w:hAnsi="Arial" w:cs="Arial"/>
          <w:sz w:val="20"/>
          <w:lang w:eastAsia="zh-CN"/>
        </w:rPr>
        <w:t>1930</w:t>
      </w:r>
      <w:r>
        <w:rPr>
          <w:rFonts w:ascii="Arial" w:eastAsia="楷体" w:hAnsi="Arial" w:cs="Arial"/>
          <w:sz w:val="20"/>
          <w:lang w:eastAsia="zh-CN"/>
        </w:rPr>
        <w:t>年《强迫劳动公约》及其议定书）；</w:t>
      </w:r>
    </w:p>
    <w:p w:rsidR="00681DDD">
      <w:pPr>
        <w:numPr>
          <w:ilvl w:val="2"/>
          <w:numId w:val="2"/>
        </w:numPr>
        <w:tabs>
          <w:tab w:val="clear" w:pos="1800"/>
          <w:tab w:val="num" w:pos="2430"/>
        </w:tabs>
        <w:overflowPunct/>
        <w:autoSpaceDE/>
        <w:autoSpaceDN/>
        <w:spacing w:line="276" w:lineRule="auto"/>
        <w:ind w:left="2430" w:hanging="990"/>
        <w:textAlignment w:val="auto"/>
        <w:outlineLvl w:val="2"/>
        <w:rPr>
          <w:rFonts w:ascii="Arial" w:eastAsia="楷体" w:hAnsi="Arial" w:cs="Arial"/>
          <w:sz w:val="20"/>
          <w:lang w:eastAsia="zh-CN"/>
        </w:rPr>
      </w:pPr>
      <w:r>
        <w:rPr>
          <w:rFonts w:ascii="Arial" w:eastAsia="楷体" w:hAnsi="Arial" w:cs="Arial"/>
          <w:sz w:val="20"/>
          <w:lang w:eastAsia="zh-CN"/>
        </w:rPr>
        <w:t>贩买人口；或</w:t>
      </w:r>
      <w:r>
        <w:rPr>
          <w:rFonts w:ascii="Arial" w:eastAsia="楷体" w:hAnsi="Arial" w:cs="Arial"/>
          <w:sz w:val="20"/>
          <w:lang w:eastAsia="zh-CN"/>
        </w:rPr>
        <w:t xml:space="preserve"> </w:t>
      </w:r>
    </w:p>
    <w:p w:rsidR="00681DDD">
      <w:pPr>
        <w:numPr>
          <w:ilvl w:val="2"/>
          <w:numId w:val="2"/>
        </w:numPr>
        <w:tabs>
          <w:tab w:val="clear" w:pos="1800"/>
          <w:tab w:val="num" w:pos="2430"/>
        </w:tabs>
        <w:overflowPunct/>
        <w:autoSpaceDE/>
        <w:autoSpaceDN/>
        <w:spacing w:line="276" w:lineRule="auto"/>
        <w:ind w:left="2430" w:hanging="990"/>
        <w:textAlignment w:val="auto"/>
        <w:outlineLvl w:val="2"/>
        <w:rPr>
          <w:rFonts w:ascii="Arial" w:eastAsia="楷体" w:hAnsi="Arial" w:cs="Arial"/>
          <w:sz w:val="20"/>
          <w:lang w:eastAsia="zh-CN"/>
        </w:rPr>
      </w:pPr>
      <w:bookmarkStart w:id="45" w:name="_Ref521938478"/>
      <w:r>
        <w:rPr>
          <w:rFonts w:ascii="Arial" w:eastAsia="楷体" w:hAnsi="Arial" w:cs="Arial"/>
          <w:sz w:val="20"/>
          <w:lang w:eastAsia="zh-CN"/>
        </w:rPr>
        <w:t>安排其他人旅行或为他人旅行提供便利，目的是令该人遭受剥削。</w:t>
      </w:r>
    </w:p>
    <w:p w:rsidR="00681DDD">
      <w:pPr>
        <w:numPr>
          <w:ilvl w:val="1"/>
          <w:numId w:val="2"/>
        </w:numPr>
        <w:tabs>
          <w:tab w:val="clear" w:pos="720"/>
          <w:tab w:val="num" w:pos="1440"/>
        </w:tabs>
        <w:overflowPunct/>
        <w:autoSpaceDE/>
        <w:autoSpaceDN/>
        <w:spacing w:line="276" w:lineRule="auto"/>
        <w:ind w:left="1440"/>
        <w:textAlignment w:val="auto"/>
        <w:outlineLvl w:val="1"/>
        <w:rPr>
          <w:rFonts w:ascii="Arial" w:eastAsia="楷体" w:hAnsi="Arial" w:cs="Arial"/>
          <w:sz w:val="20"/>
          <w:lang w:eastAsia="zh-CN"/>
        </w:rPr>
      </w:pPr>
      <w:bookmarkStart w:id="46" w:name="_Ref521938534"/>
      <w:bookmarkEnd w:id="43"/>
      <w:bookmarkEnd w:id="45"/>
      <w:r>
        <w:rPr>
          <w:rFonts w:ascii="Arial" w:eastAsia="楷体" w:hAnsi="Arial" w:cs="Arial"/>
          <w:sz w:val="20"/>
          <w:lang w:eastAsia="zh-CN"/>
        </w:rPr>
        <w:t>每一方均应采取以下措施，并应督促其管理人员、雇员、代理人、分包商以及针对订单为其或代表其提供服务的任何其他人采取以下措施：</w:t>
      </w:r>
    </w:p>
    <w:p w:rsidR="00681DDD">
      <w:pPr>
        <w:numPr>
          <w:ilvl w:val="2"/>
          <w:numId w:val="2"/>
        </w:numPr>
        <w:tabs>
          <w:tab w:val="clear" w:pos="1800"/>
          <w:tab w:val="num" w:pos="2430"/>
        </w:tabs>
        <w:overflowPunct/>
        <w:autoSpaceDE/>
        <w:autoSpaceDN/>
        <w:spacing w:line="276" w:lineRule="auto"/>
        <w:ind w:left="2430" w:hanging="990"/>
        <w:textAlignment w:val="auto"/>
        <w:outlineLvl w:val="2"/>
        <w:rPr>
          <w:rFonts w:ascii="Arial" w:eastAsia="楷体" w:hAnsi="Arial" w:cs="Arial"/>
          <w:sz w:val="20"/>
          <w:lang w:eastAsia="zh-CN"/>
        </w:rPr>
      </w:pPr>
      <w:bookmarkStart w:id="47" w:name="_Ref14870818"/>
      <w:bookmarkEnd w:id="46"/>
      <w:r>
        <w:rPr>
          <w:rFonts w:ascii="Arial" w:eastAsia="楷体" w:hAnsi="Arial" w:cs="Arial"/>
          <w:sz w:val="20"/>
          <w:lang w:eastAsia="zh-CN"/>
        </w:rPr>
        <w:t>遵守有关蓄奴、奴役、强迫或被迫劳动或贩买人口的所有适用法律（</w:t>
      </w:r>
      <w:r>
        <w:rPr>
          <w:rFonts w:ascii="Arial" w:eastAsia="楷体" w:hAnsi="Arial" w:cs="Arial"/>
          <w:b/>
          <w:color w:val="00A5E7"/>
          <w:sz w:val="20"/>
          <w:lang w:eastAsia="zh-CN"/>
        </w:rPr>
        <w:t>“</w:t>
      </w:r>
      <w:r>
        <w:rPr>
          <w:rFonts w:ascii="Arial" w:eastAsia="楷体" w:hAnsi="Arial" w:cs="Arial"/>
          <w:b/>
          <w:color w:val="00A5E7"/>
          <w:sz w:val="20"/>
          <w:lang w:eastAsia="zh-CN"/>
        </w:rPr>
        <w:t>反奴役法</w:t>
      </w:r>
      <w:r>
        <w:rPr>
          <w:rFonts w:ascii="Arial" w:eastAsia="楷体" w:hAnsi="Arial" w:cs="Arial"/>
          <w:b/>
          <w:color w:val="00A5E7"/>
          <w:sz w:val="20"/>
          <w:lang w:eastAsia="zh-CN"/>
        </w:rPr>
        <w:t>”</w:t>
      </w:r>
      <w:r>
        <w:rPr>
          <w:rFonts w:ascii="Arial" w:eastAsia="楷体" w:hAnsi="Arial" w:cs="Arial"/>
          <w:sz w:val="20"/>
          <w:lang w:eastAsia="zh-CN"/>
        </w:rPr>
        <w:t>）；</w:t>
      </w:r>
    </w:p>
    <w:p w:rsidR="00681DDD">
      <w:pPr>
        <w:numPr>
          <w:ilvl w:val="2"/>
          <w:numId w:val="2"/>
        </w:numPr>
        <w:tabs>
          <w:tab w:val="clear" w:pos="1800"/>
          <w:tab w:val="num" w:pos="2430"/>
        </w:tabs>
        <w:overflowPunct/>
        <w:autoSpaceDE/>
        <w:autoSpaceDN/>
        <w:spacing w:line="276" w:lineRule="auto"/>
        <w:ind w:left="2430" w:hanging="990"/>
        <w:textAlignment w:val="auto"/>
        <w:outlineLvl w:val="2"/>
        <w:rPr>
          <w:rFonts w:ascii="Arial" w:eastAsia="楷体" w:hAnsi="Arial" w:cs="Arial"/>
          <w:sz w:val="20"/>
          <w:lang w:eastAsia="zh-CN"/>
        </w:rPr>
      </w:pPr>
      <w:bookmarkEnd w:id="47"/>
      <w:r>
        <w:rPr>
          <w:rFonts w:ascii="Arial" w:eastAsia="楷体" w:hAnsi="Arial" w:cs="Arial"/>
          <w:sz w:val="20"/>
          <w:lang w:eastAsia="zh-CN"/>
        </w:rPr>
        <w:t>采取</w:t>
      </w:r>
      <w:r>
        <w:rPr>
          <w:rFonts w:ascii="Arial" w:eastAsia="楷体" w:hAnsi="Arial" w:cs="Arial"/>
          <w:sz w:val="20"/>
          <w:lang w:eastAsia="zh-CN"/>
        </w:rPr>
        <w:t>/</w:t>
      </w:r>
      <w:r>
        <w:rPr>
          <w:rFonts w:ascii="Arial" w:eastAsia="楷体" w:hAnsi="Arial" w:cs="Arial"/>
          <w:sz w:val="20"/>
          <w:lang w:eastAsia="zh-CN"/>
        </w:rPr>
        <w:t>办理或疏于采取</w:t>
      </w:r>
      <w:r>
        <w:rPr>
          <w:rFonts w:ascii="Arial" w:eastAsia="楷体" w:hAnsi="Arial" w:cs="Arial"/>
          <w:sz w:val="20"/>
          <w:lang w:eastAsia="zh-CN"/>
        </w:rPr>
        <w:t>/</w:t>
      </w:r>
      <w:r>
        <w:rPr>
          <w:rFonts w:ascii="Arial" w:eastAsia="楷体" w:hAnsi="Arial" w:cs="Arial"/>
          <w:sz w:val="20"/>
          <w:lang w:eastAsia="zh-CN"/>
        </w:rPr>
        <w:t>办理任何措施或事项，构成或可能构成违反任何反奴役法；</w:t>
      </w:r>
    </w:p>
    <w:p w:rsidR="00681DDD">
      <w:pPr>
        <w:numPr>
          <w:ilvl w:val="2"/>
          <w:numId w:val="2"/>
        </w:numPr>
        <w:tabs>
          <w:tab w:val="clear" w:pos="1800"/>
          <w:tab w:val="num" w:pos="2430"/>
        </w:tabs>
        <w:overflowPunct/>
        <w:autoSpaceDE/>
        <w:autoSpaceDN/>
        <w:spacing w:line="276" w:lineRule="auto"/>
        <w:ind w:left="2430" w:hanging="990"/>
        <w:textAlignment w:val="auto"/>
        <w:outlineLvl w:val="2"/>
        <w:rPr>
          <w:rFonts w:ascii="Arial" w:eastAsia="楷体" w:hAnsi="Arial" w:cs="Arial"/>
          <w:sz w:val="20"/>
          <w:lang w:eastAsia="zh-CN"/>
        </w:rPr>
      </w:pPr>
      <w:r>
        <w:rPr>
          <w:rFonts w:ascii="Arial" w:eastAsia="楷体" w:hAnsi="Arial" w:cs="Arial"/>
          <w:sz w:val="20"/>
          <w:lang w:eastAsia="zh-CN"/>
        </w:rPr>
        <w:t>不在知情情况下采取或参与任何措施，构成或可能构成违反任何反奴役法，并不在知情情况下任命任何人士或向任何人士订购，而该人士就任何反奴役法项下违法或违法指控在任何法域内犯罪成立或遭受追诉；</w:t>
      </w:r>
    </w:p>
    <w:p w:rsidR="00681DDD">
      <w:pPr>
        <w:numPr>
          <w:ilvl w:val="2"/>
          <w:numId w:val="2"/>
        </w:numPr>
        <w:tabs>
          <w:tab w:val="clear" w:pos="1800"/>
          <w:tab w:val="num" w:pos="2430"/>
        </w:tabs>
        <w:overflowPunct/>
        <w:autoSpaceDE/>
        <w:autoSpaceDN/>
        <w:spacing w:line="276" w:lineRule="auto"/>
        <w:ind w:left="2430" w:hanging="990"/>
        <w:textAlignment w:val="auto"/>
        <w:outlineLvl w:val="2"/>
        <w:rPr>
          <w:rFonts w:ascii="Arial" w:eastAsia="楷体" w:hAnsi="Arial" w:cs="Arial"/>
          <w:sz w:val="20"/>
          <w:lang w:eastAsia="zh-CN"/>
        </w:rPr>
      </w:pPr>
      <w:r>
        <w:rPr>
          <w:rFonts w:ascii="Arial" w:eastAsia="楷体" w:hAnsi="Arial" w:cs="Arial"/>
          <w:sz w:val="20"/>
          <w:lang w:eastAsia="zh-CN"/>
        </w:rPr>
        <w:t>不得有人任何作为或不作为，导致或可能导致对方违反任何反奴役法或根据任何反奴役法构成犯罪；并且</w:t>
      </w:r>
    </w:p>
    <w:p w:rsidR="00681DDD">
      <w:pPr>
        <w:numPr>
          <w:ilvl w:val="2"/>
          <w:numId w:val="2"/>
        </w:numPr>
        <w:tabs>
          <w:tab w:val="clear" w:pos="1800"/>
          <w:tab w:val="num" w:pos="2430"/>
        </w:tabs>
        <w:overflowPunct/>
        <w:autoSpaceDE/>
        <w:autoSpaceDN/>
        <w:spacing w:line="276" w:lineRule="auto"/>
        <w:ind w:left="2430" w:hanging="990"/>
        <w:textAlignment w:val="auto"/>
        <w:outlineLvl w:val="2"/>
        <w:rPr>
          <w:rFonts w:ascii="Arial" w:eastAsia="楷体" w:hAnsi="Arial" w:cs="Arial"/>
          <w:sz w:val="20"/>
          <w:lang w:eastAsia="zh-CN"/>
        </w:rPr>
      </w:pPr>
      <w:r>
        <w:rPr>
          <w:rFonts w:ascii="Arial" w:eastAsia="楷体" w:hAnsi="Arial" w:cs="Arial"/>
          <w:sz w:val="20"/>
          <w:lang w:eastAsia="zh-CN"/>
        </w:rPr>
        <w:t>将任何违反第</w:t>
      </w:r>
      <w:r>
        <w:rPr>
          <w:rFonts w:ascii="Arial" w:eastAsia="楷体" w:hAnsi="Arial" w:cs="Arial"/>
          <w:sz w:val="20"/>
          <w:lang w:eastAsia="zh-CN"/>
        </w:rPr>
        <w:fldChar w:fldCharType="begin"/>
      </w:r>
      <w:r>
        <w:rPr>
          <w:rFonts w:ascii="Arial" w:eastAsia="楷体" w:hAnsi="Arial" w:cs="Arial"/>
          <w:sz w:val="20"/>
          <w:lang w:eastAsia="zh-CN"/>
        </w:rPr>
        <w:instrText xml:space="preserve"> REF _Ref531880645 \r \h  \* MERGEFORMAT </w:instrText>
      </w:r>
      <w:r>
        <w:rPr>
          <w:rFonts w:ascii="Arial" w:eastAsia="楷体" w:hAnsi="Arial" w:cs="Arial"/>
          <w:sz w:val="20"/>
          <w:lang w:eastAsia="zh-CN"/>
        </w:rPr>
        <w:fldChar w:fldCharType="separate"/>
      </w:r>
      <w:r>
        <w:rPr>
          <w:rFonts w:ascii="Arial" w:eastAsia="楷体" w:hAnsi="Arial" w:cs="Arial"/>
          <w:sz w:val="20"/>
          <w:lang w:eastAsia="zh-CN"/>
        </w:rPr>
        <w:t>26.1</w:t>
      </w:r>
      <w:r>
        <w:rPr>
          <w:rFonts w:ascii="Arial" w:eastAsia="楷体" w:hAnsi="Arial" w:cs="Arial"/>
          <w:sz w:val="20"/>
          <w:lang w:eastAsia="zh-CN"/>
        </w:rPr>
        <w:fldChar w:fldCharType="end"/>
      </w:r>
      <w:r>
        <w:rPr>
          <w:rFonts w:ascii="Arial" w:eastAsia="楷体" w:hAnsi="Arial" w:cs="Arial"/>
          <w:sz w:val="20"/>
          <w:lang w:eastAsia="zh-CN"/>
        </w:rPr>
        <w:t>项条件和</w:t>
      </w:r>
      <w:r>
        <w:rPr>
          <w:rFonts w:ascii="Arial" w:eastAsia="楷体" w:hAnsi="Arial" w:cs="Arial"/>
          <w:sz w:val="20"/>
          <w:lang w:eastAsia="zh-CN"/>
        </w:rPr>
        <w:t>/</w:t>
      </w:r>
      <w:r>
        <w:rPr>
          <w:rFonts w:ascii="Arial" w:eastAsia="楷体" w:hAnsi="Arial" w:cs="Arial"/>
          <w:sz w:val="20"/>
          <w:lang w:eastAsia="zh-CN"/>
        </w:rPr>
        <w:t>或第</w:t>
      </w:r>
      <w:r>
        <w:rPr>
          <w:rFonts w:ascii="Arial" w:eastAsia="楷体" w:hAnsi="Arial" w:cs="Arial"/>
          <w:sz w:val="20"/>
          <w:lang w:eastAsia="zh-CN"/>
        </w:rPr>
        <w:fldChar w:fldCharType="begin"/>
      </w:r>
      <w:r>
        <w:rPr>
          <w:rFonts w:ascii="Arial" w:eastAsia="楷体" w:hAnsi="Arial" w:cs="Arial"/>
          <w:sz w:val="20"/>
          <w:lang w:eastAsia="zh-CN"/>
        </w:rPr>
        <w:instrText xml:space="preserve"> REF _Ref521938534 \w \h  \* MERGEFORMAT </w:instrText>
      </w:r>
      <w:r>
        <w:rPr>
          <w:rFonts w:ascii="Arial" w:eastAsia="楷体" w:hAnsi="Arial" w:cs="Arial"/>
          <w:sz w:val="20"/>
          <w:lang w:eastAsia="zh-CN"/>
        </w:rPr>
        <w:fldChar w:fldCharType="separate"/>
      </w:r>
      <w:r>
        <w:rPr>
          <w:rFonts w:ascii="Arial" w:eastAsia="楷体" w:hAnsi="Arial" w:cs="Arial"/>
          <w:sz w:val="20"/>
          <w:lang w:eastAsia="zh-CN"/>
        </w:rPr>
        <w:t>26.2</w:t>
      </w:r>
      <w:r>
        <w:rPr>
          <w:rFonts w:ascii="Arial" w:eastAsia="楷体" w:hAnsi="Arial" w:cs="Arial"/>
          <w:sz w:val="20"/>
          <w:lang w:eastAsia="zh-CN"/>
        </w:rPr>
        <w:fldChar w:fldCharType="end"/>
      </w:r>
      <w:r>
        <w:rPr>
          <w:rFonts w:ascii="Arial" w:eastAsia="楷体" w:hAnsi="Arial" w:cs="Arial"/>
          <w:sz w:val="20"/>
          <w:lang w:eastAsia="zh-CN"/>
        </w:rPr>
        <w:t>项条件的情形及时通知对方。</w:t>
      </w:r>
    </w:p>
    <w:p w:rsidR="00681DDD">
      <w:pPr>
        <w:numPr>
          <w:ilvl w:val="1"/>
          <w:numId w:val="2"/>
        </w:numPr>
        <w:tabs>
          <w:tab w:val="clear" w:pos="720"/>
          <w:tab w:val="num" w:pos="1440"/>
        </w:tabs>
        <w:overflowPunct/>
        <w:autoSpaceDE/>
        <w:autoSpaceDN/>
        <w:spacing w:line="276" w:lineRule="auto"/>
        <w:ind w:left="1440"/>
        <w:textAlignment w:val="auto"/>
        <w:outlineLvl w:val="1"/>
        <w:rPr>
          <w:rFonts w:ascii="Arial" w:eastAsia="楷体" w:hAnsi="Arial" w:cs="Arial"/>
          <w:sz w:val="20"/>
          <w:lang w:eastAsia="zh-CN"/>
        </w:rPr>
      </w:pPr>
      <w:bookmarkStart w:id="48" w:name="_Ref481740815"/>
      <w:r>
        <w:rPr>
          <w:rFonts w:ascii="Arial" w:eastAsia="楷体" w:hAnsi="Arial" w:cs="Arial"/>
          <w:sz w:val="20"/>
          <w:lang w:eastAsia="zh-CN"/>
        </w:rPr>
        <w:t>每一方均应按照对方不时合理要求提供其他协助和信息，旨在：</w:t>
      </w:r>
    </w:p>
    <w:p w:rsidR="00681DDD">
      <w:pPr>
        <w:numPr>
          <w:ilvl w:val="2"/>
          <w:numId w:val="2"/>
        </w:numPr>
        <w:tabs>
          <w:tab w:val="clear" w:pos="1800"/>
          <w:tab w:val="num" w:pos="2430"/>
        </w:tabs>
        <w:overflowPunct/>
        <w:autoSpaceDE/>
        <w:autoSpaceDN/>
        <w:spacing w:line="276" w:lineRule="auto"/>
        <w:ind w:left="2430" w:hanging="990"/>
        <w:textAlignment w:val="auto"/>
        <w:outlineLvl w:val="2"/>
        <w:rPr>
          <w:rFonts w:ascii="Arial" w:eastAsia="楷体" w:hAnsi="Arial" w:cs="Arial"/>
          <w:sz w:val="20"/>
          <w:lang w:eastAsia="zh-CN"/>
        </w:rPr>
      </w:pPr>
      <w:r>
        <w:rPr>
          <w:rFonts w:ascii="Arial" w:eastAsia="楷体" w:hAnsi="Arial" w:cs="Arial"/>
          <w:sz w:val="20"/>
          <w:lang w:eastAsia="zh-CN"/>
        </w:rPr>
        <w:t>按照任何相关法域内任何政府、监管单位或机构的要求开展任何活动，遵守任何适用反奴役法；</w:t>
      </w:r>
    </w:p>
    <w:p w:rsidR="00681DDD">
      <w:pPr>
        <w:numPr>
          <w:ilvl w:val="2"/>
          <w:numId w:val="2"/>
        </w:numPr>
        <w:tabs>
          <w:tab w:val="clear" w:pos="1800"/>
          <w:tab w:val="num" w:pos="2430"/>
        </w:tabs>
        <w:overflowPunct/>
        <w:autoSpaceDE/>
        <w:autoSpaceDN/>
        <w:spacing w:line="276" w:lineRule="auto"/>
        <w:ind w:left="2430" w:hanging="990"/>
        <w:textAlignment w:val="auto"/>
        <w:outlineLvl w:val="2"/>
        <w:rPr>
          <w:rFonts w:ascii="Arial" w:eastAsia="楷体" w:hAnsi="Arial" w:cs="Arial"/>
          <w:sz w:val="20"/>
          <w:lang w:eastAsia="zh-CN"/>
        </w:rPr>
      </w:pPr>
      <w:r>
        <w:rPr>
          <w:rFonts w:ascii="Arial" w:eastAsia="楷体" w:hAnsi="Arial" w:cs="Arial"/>
          <w:sz w:val="20"/>
          <w:lang w:eastAsia="zh-CN"/>
        </w:rPr>
        <w:t>按照英国</w:t>
      </w:r>
      <w:r>
        <w:rPr>
          <w:rFonts w:ascii="Arial" w:eastAsia="楷体" w:hAnsi="Arial" w:cs="Arial"/>
          <w:sz w:val="20"/>
          <w:lang w:eastAsia="zh-CN"/>
        </w:rPr>
        <w:t>2015</w:t>
      </w:r>
      <w:r>
        <w:rPr>
          <w:rFonts w:ascii="Arial" w:eastAsia="楷体" w:hAnsi="Arial" w:cs="Arial"/>
          <w:sz w:val="20"/>
          <w:lang w:eastAsia="zh-CN"/>
        </w:rPr>
        <w:t>年《现代反奴役法》第</w:t>
      </w:r>
      <w:r>
        <w:rPr>
          <w:rFonts w:ascii="Arial" w:eastAsia="楷体" w:hAnsi="Arial" w:cs="Arial"/>
          <w:sz w:val="20"/>
          <w:lang w:eastAsia="zh-CN"/>
        </w:rPr>
        <w:t>54</w:t>
      </w:r>
      <w:r>
        <w:rPr>
          <w:rFonts w:ascii="Arial" w:eastAsia="楷体" w:hAnsi="Arial" w:cs="Arial"/>
          <w:sz w:val="20"/>
          <w:lang w:eastAsia="zh-CN"/>
        </w:rPr>
        <w:t>条要求出具关于奴役和人口贩卖的说明，并且包含该法第</w:t>
      </w:r>
      <w:r>
        <w:rPr>
          <w:rFonts w:ascii="Arial" w:eastAsia="楷体" w:hAnsi="Arial" w:cs="Arial"/>
          <w:sz w:val="20"/>
          <w:lang w:eastAsia="zh-CN"/>
        </w:rPr>
        <w:t>54(5)</w:t>
      </w:r>
      <w:r>
        <w:rPr>
          <w:rFonts w:ascii="Arial" w:eastAsia="楷体" w:hAnsi="Arial" w:cs="Arial"/>
          <w:sz w:val="20"/>
          <w:lang w:eastAsia="zh-CN"/>
        </w:rPr>
        <w:t>条所述内容；以及</w:t>
      </w:r>
    </w:p>
    <w:p w:rsidR="00681DDD">
      <w:pPr>
        <w:numPr>
          <w:ilvl w:val="2"/>
          <w:numId w:val="2"/>
        </w:numPr>
        <w:tabs>
          <w:tab w:val="clear" w:pos="1800"/>
          <w:tab w:val="num" w:pos="2430"/>
        </w:tabs>
        <w:overflowPunct/>
        <w:autoSpaceDE/>
        <w:autoSpaceDN/>
        <w:spacing w:line="276" w:lineRule="auto"/>
        <w:ind w:left="2430" w:hanging="990"/>
        <w:textAlignment w:val="auto"/>
        <w:outlineLvl w:val="2"/>
        <w:rPr>
          <w:rFonts w:ascii="Arial" w:eastAsia="楷体" w:hAnsi="Arial" w:cs="Arial"/>
          <w:sz w:val="20"/>
          <w:lang w:eastAsia="zh-CN"/>
        </w:rPr>
      </w:pPr>
      <w:r>
        <w:rPr>
          <w:rFonts w:ascii="Arial" w:eastAsia="楷体" w:hAnsi="Arial" w:cs="Arial"/>
          <w:sz w:val="20"/>
          <w:lang w:eastAsia="zh-CN"/>
        </w:rPr>
        <w:t>开展尽职调查，评估已采取步骤的效果，或确保其供应链中没有现代奴役行径。</w:t>
      </w:r>
    </w:p>
    <w:p w:rsidR="00681DDD">
      <w:pPr>
        <w:numPr>
          <w:ilvl w:val="1"/>
          <w:numId w:val="2"/>
        </w:numPr>
        <w:tabs>
          <w:tab w:val="clear" w:pos="720"/>
          <w:tab w:val="num" w:pos="1440"/>
        </w:tabs>
        <w:overflowPunct/>
        <w:autoSpaceDE/>
        <w:autoSpaceDN/>
        <w:spacing w:line="276" w:lineRule="auto"/>
        <w:ind w:left="1440"/>
        <w:textAlignment w:val="auto"/>
        <w:outlineLvl w:val="1"/>
        <w:rPr>
          <w:rFonts w:ascii="Arial" w:eastAsia="楷体" w:hAnsi="Arial" w:cs="Arial"/>
          <w:sz w:val="20"/>
          <w:lang w:eastAsia="zh-CN"/>
        </w:rPr>
      </w:pPr>
      <w:bookmarkEnd w:id="48"/>
      <w:r>
        <w:rPr>
          <w:rFonts w:ascii="Arial" w:eastAsia="楷体" w:hAnsi="Arial" w:cs="Arial"/>
          <w:sz w:val="20"/>
          <w:lang w:eastAsia="zh-CN"/>
        </w:rPr>
        <w:t>买方违反第</w:t>
      </w:r>
      <w:r>
        <w:rPr>
          <w:rFonts w:ascii="Arial" w:eastAsia="楷体" w:hAnsi="Arial" w:cs="Arial"/>
          <w:sz w:val="20"/>
          <w:lang w:eastAsia="zh-CN"/>
        </w:rPr>
        <w:fldChar w:fldCharType="begin"/>
      </w:r>
      <w:r>
        <w:rPr>
          <w:rFonts w:ascii="Arial" w:eastAsia="楷体" w:hAnsi="Arial" w:cs="Arial"/>
          <w:sz w:val="20"/>
          <w:lang w:eastAsia="zh-CN"/>
        </w:rPr>
        <w:instrText xml:space="preserve"> REF _Ref521939722 \w \h  \* MERGEFORMAT </w:instrText>
      </w:r>
      <w:r>
        <w:rPr>
          <w:rFonts w:ascii="Arial" w:eastAsia="楷体" w:hAnsi="Arial" w:cs="Arial"/>
          <w:sz w:val="20"/>
          <w:lang w:eastAsia="zh-CN"/>
        </w:rPr>
        <w:fldChar w:fldCharType="separate"/>
      </w:r>
      <w:r>
        <w:rPr>
          <w:rFonts w:ascii="Arial" w:eastAsia="楷体" w:hAnsi="Arial" w:cs="Arial"/>
          <w:sz w:val="20"/>
          <w:lang w:eastAsia="zh-CN"/>
        </w:rPr>
        <w:t>26</w:t>
      </w:r>
      <w:r>
        <w:rPr>
          <w:rFonts w:ascii="Arial" w:eastAsia="楷体" w:hAnsi="Arial" w:cs="Arial"/>
          <w:sz w:val="20"/>
          <w:lang w:eastAsia="zh-CN"/>
        </w:rPr>
        <w:fldChar w:fldCharType="end"/>
      </w:r>
      <w:r>
        <w:rPr>
          <w:rFonts w:ascii="Arial" w:eastAsia="楷体" w:hAnsi="Arial" w:cs="Arial"/>
          <w:sz w:val="20"/>
          <w:lang w:eastAsia="zh-CN"/>
        </w:rPr>
        <w:t>项条件的，视为买方根本性违反订单。</w:t>
      </w:r>
    </w:p>
    <w:p w:rsidR="00681DDD">
      <w:pPr>
        <w:keepNext/>
        <w:numPr>
          <w:ilvl w:val="0"/>
          <w:numId w:val="2"/>
        </w:numPr>
        <w:overflowPunct/>
        <w:autoSpaceDE/>
        <w:autoSpaceDN/>
        <w:spacing w:line="276" w:lineRule="auto"/>
        <w:ind w:firstLine="0"/>
        <w:textAlignment w:val="auto"/>
        <w:outlineLvl w:val="0"/>
        <w:rPr>
          <w:rFonts w:ascii="Arial" w:eastAsia="楷体" w:hAnsi="Arial" w:cs="Arial"/>
          <w:b/>
          <w:color w:val="00A5E7"/>
          <w:sz w:val="20"/>
          <w:lang w:eastAsia="zh-CN"/>
        </w:rPr>
      </w:pPr>
      <w:r>
        <w:rPr>
          <w:rFonts w:ascii="Arial" w:eastAsia="楷体" w:hAnsi="Arial" w:cs="Arial"/>
          <w:b/>
          <w:color w:val="00A5E7"/>
          <w:sz w:val="20"/>
          <w:lang w:eastAsia="zh-CN"/>
        </w:rPr>
        <w:t>举报</w:t>
      </w:r>
    </w:p>
    <w:p w:rsidR="00681DDD">
      <w:pPr>
        <w:overflowPunct/>
        <w:autoSpaceDE/>
        <w:autoSpaceDN/>
        <w:spacing w:line="276" w:lineRule="auto"/>
        <w:ind w:left="1440"/>
        <w:textAlignment w:val="auto"/>
        <w:outlineLvl w:val="1"/>
        <w:rPr>
          <w:rFonts w:ascii="Arial" w:eastAsia="楷体" w:hAnsi="Arial" w:cs="Arial"/>
          <w:sz w:val="20"/>
          <w:lang w:eastAsia="zh-CN"/>
        </w:rPr>
      </w:pPr>
      <w:r>
        <w:rPr>
          <w:rFonts w:ascii="Arial" w:eastAsia="楷体" w:hAnsi="Arial" w:cs="Arial"/>
          <w:sz w:val="20"/>
          <w:lang w:eastAsia="zh-CN"/>
        </w:rPr>
        <w:t>买方应确保已经制定（并且买方人员知晓）相应流程，买方人员应根据该流程将商品供应相关的任何不</w:t>
      </w:r>
      <w:r>
        <w:rPr>
          <w:rFonts w:ascii="Arial" w:eastAsia="楷体" w:hAnsi="Arial" w:cs="Arial"/>
          <w:sz w:val="20"/>
          <w:lang w:eastAsia="zh-CN"/>
        </w:rPr>
        <w:t>当或过错或其他负面事件及时告知买方专职授权代表。买方应对任何举报及时开展调查，并将任何内容如果准确便将影响商品或</w:t>
      </w:r>
      <w:r>
        <w:rPr>
          <w:rFonts w:ascii="Arial" w:eastAsia="楷体" w:hAnsi="Arial" w:cs="Arial"/>
          <w:sz w:val="20"/>
          <w:lang w:eastAsia="zh-CN"/>
        </w:rPr>
        <w:t>Vita</w:t>
      </w:r>
      <w:r>
        <w:rPr>
          <w:rFonts w:ascii="Arial" w:eastAsia="楷体" w:hAnsi="Arial" w:cs="Arial"/>
          <w:sz w:val="20"/>
          <w:lang w:eastAsia="zh-CN"/>
        </w:rPr>
        <w:t>业务经营的举报告知</w:t>
      </w:r>
      <w:r>
        <w:rPr>
          <w:rFonts w:ascii="Arial" w:eastAsia="楷体" w:hAnsi="Arial" w:cs="Arial"/>
          <w:sz w:val="20"/>
          <w:lang w:eastAsia="zh-CN"/>
        </w:rPr>
        <w:t>Vita</w:t>
      </w:r>
      <w:r>
        <w:rPr>
          <w:rFonts w:ascii="Arial" w:eastAsia="楷体" w:hAnsi="Arial" w:cs="Arial"/>
          <w:sz w:val="20"/>
          <w:lang w:eastAsia="zh-CN"/>
        </w:rPr>
        <w:t>。</w:t>
      </w:r>
    </w:p>
    <w:p w:rsidR="00681DDD">
      <w:pPr>
        <w:pStyle w:val="Heading1"/>
        <w:spacing w:line="276" w:lineRule="auto"/>
        <w:ind w:firstLine="0"/>
        <w:rPr>
          <w:rFonts w:eastAsia="楷体"/>
          <w:color w:val="00A5E7"/>
          <w:sz w:val="20"/>
          <w:u w:val="none"/>
        </w:rPr>
      </w:pPr>
      <w:r>
        <w:rPr>
          <w:rFonts w:eastAsia="楷体"/>
          <w:color w:val="00A5E7"/>
          <w:sz w:val="20"/>
          <w:u w:val="none"/>
        </w:rPr>
        <w:t>一般约定</w:t>
      </w:r>
    </w:p>
    <w:p w:rsidR="00681DDD">
      <w:pPr>
        <w:pStyle w:val="Heading2"/>
        <w:spacing w:line="276" w:lineRule="auto"/>
        <w:rPr>
          <w:rFonts w:eastAsia="楷体"/>
          <w:sz w:val="20"/>
        </w:rPr>
      </w:pPr>
      <w:bookmarkStart w:id="49" w:name="_Ref519864609"/>
      <w:r>
        <w:rPr>
          <w:rFonts w:eastAsia="楷体"/>
          <w:sz w:val="20"/>
        </w:rPr>
        <w:t>一方根据条件必须或可以发给对方的通知均应采用书面形式，发往对方注册地址或主营业地址，或者相关方在相关时间已根据本条告知的其他地址，并通过专人、一等邮件或海外邮寄或传真的方式交付。专人递送或传真发送的通知视为立即送达，但通过传真发送的通知，视为在获得传真发送成功报告时送达。一等邮件寄送的通知视为在交邮后两</w:t>
      </w:r>
      <w:r>
        <w:rPr>
          <w:rFonts w:eastAsia="楷体"/>
          <w:sz w:val="20"/>
        </w:rPr>
        <w:t>(2)</w:t>
      </w:r>
      <w:r>
        <w:rPr>
          <w:rFonts w:eastAsia="楷体"/>
          <w:sz w:val="20"/>
        </w:rPr>
        <w:t>日（中国地址）或七</w:t>
      </w:r>
      <w:r>
        <w:rPr>
          <w:rFonts w:eastAsia="楷体"/>
          <w:sz w:val="20"/>
        </w:rPr>
        <w:t>(7)</w:t>
      </w:r>
      <w:r>
        <w:rPr>
          <w:rFonts w:eastAsia="楷体"/>
          <w:sz w:val="20"/>
        </w:rPr>
        <w:t>日（海外地址）送达</w:t>
      </w:r>
      <w:r>
        <w:rPr>
          <w:rFonts w:eastAsia="楷体"/>
          <w:sz w:val="20"/>
        </w:rPr>
        <w:t>。</w:t>
      </w:r>
    </w:p>
    <w:p w:rsidR="00681DDD">
      <w:pPr>
        <w:pStyle w:val="Heading2"/>
        <w:spacing w:line="276" w:lineRule="auto"/>
        <w:rPr>
          <w:rFonts w:eastAsia="楷体"/>
          <w:sz w:val="20"/>
        </w:rPr>
      </w:pPr>
      <w:r>
        <w:rPr>
          <w:rFonts w:eastAsia="楷体"/>
          <w:sz w:val="20"/>
        </w:rPr>
        <w:t xml:space="preserve">Vita </w:t>
      </w:r>
      <w:r>
        <w:rPr>
          <w:rFonts w:eastAsia="楷体"/>
          <w:sz w:val="20"/>
        </w:rPr>
        <w:t>是持股公司</w:t>
      </w:r>
      <w:r>
        <w:rPr>
          <w:rFonts w:eastAsia="楷体"/>
          <w:sz w:val="20"/>
        </w:rPr>
        <w:t>Vita Global Holdings Limited</w:t>
      </w:r>
      <w:r>
        <w:rPr>
          <w:rFonts w:eastAsia="楷体"/>
          <w:sz w:val="20"/>
        </w:rPr>
        <w:t>的集团公司成员，因而</w:t>
      </w:r>
      <w:r>
        <w:rPr>
          <w:rFonts w:eastAsia="楷体"/>
          <w:sz w:val="20"/>
        </w:rPr>
        <w:t>Vita</w:t>
      </w:r>
      <w:r>
        <w:rPr>
          <w:rFonts w:eastAsia="楷体"/>
          <w:sz w:val="20"/>
        </w:rPr>
        <w:t>可自行或通过该集团任何其他成员履行义务或行使权利，但任何其他人员的任何作为或不作为均视为</w:t>
      </w:r>
      <w:r>
        <w:rPr>
          <w:rFonts w:eastAsia="楷体"/>
          <w:sz w:val="20"/>
        </w:rPr>
        <w:t>Vita</w:t>
      </w:r>
      <w:r>
        <w:rPr>
          <w:rFonts w:eastAsia="楷体"/>
          <w:sz w:val="20"/>
        </w:rPr>
        <w:t>的作为或不作为。</w:t>
      </w:r>
      <w:r>
        <w:rPr>
          <w:rFonts w:eastAsia="楷体"/>
          <w:sz w:val="20"/>
        </w:rPr>
        <w:t xml:space="preserve">Vita Global </w:t>
      </w:r>
      <w:r>
        <w:rPr>
          <w:rFonts w:eastAsia="楷体"/>
          <w:sz w:val="20"/>
        </w:rPr>
        <w:t>Holdings Limited</w:t>
      </w:r>
      <w:r>
        <w:rPr>
          <w:rFonts w:eastAsia="楷体"/>
          <w:sz w:val="20"/>
        </w:rPr>
        <w:t>集团旗下任何公司均可为自身利益执行订单任何条款，但必须符合且执行相关中国法律规定。虽有上述约定，经双方书面达成一致，订单任何条款均可调整、修订或修改，或者订单可暂停、撤销或终止；订单亦可解除，此时无需</w:t>
      </w:r>
      <w:r>
        <w:rPr>
          <w:rFonts w:eastAsia="楷体"/>
          <w:sz w:val="20"/>
        </w:rPr>
        <w:t>Vita Global Holdings Limited</w:t>
      </w:r>
      <w:r>
        <w:rPr>
          <w:rFonts w:eastAsia="楷体"/>
          <w:sz w:val="20"/>
        </w:rPr>
        <w:t>集团旗下任何公司同意。除非第</w:t>
      </w:r>
      <w:r>
        <w:rPr>
          <w:rFonts w:eastAsia="楷体"/>
          <w:sz w:val="20"/>
        </w:rPr>
        <w:fldChar w:fldCharType="begin"/>
      </w:r>
      <w:r>
        <w:rPr>
          <w:rFonts w:eastAsia="楷体"/>
          <w:sz w:val="20"/>
        </w:rPr>
        <w:instrText xml:space="preserve"> REF _Ref519864609 \w \h  \* MERGEFORMAT </w:instrText>
      </w:r>
      <w:r>
        <w:rPr>
          <w:rFonts w:eastAsia="楷体"/>
          <w:sz w:val="20"/>
        </w:rPr>
        <w:fldChar w:fldCharType="separate"/>
      </w:r>
      <w:r>
        <w:rPr>
          <w:rFonts w:eastAsia="楷体"/>
          <w:sz w:val="20"/>
        </w:rPr>
        <w:t>28.1</w:t>
      </w:r>
      <w:r>
        <w:rPr>
          <w:rFonts w:eastAsia="楷体"/>
          <w:sz w:val="20"/>
        </w:rPr>
        <w:fldChar w:fldCharType="end"/>
      </w:r>
      <w:r>
        <w:rPr>
          <w:rFonts w:eastAsia="楷体"/>
          <w:sz w:val="20"/>
        </w:rPr>
        <w:t>项条件另有约定，非订单当事方的任何人士均无权根据订单执行订单任何条款，但第</w:t>
      </w:r>
      <w:r>
        <w:rPr>
          <w:rFonts w:eastAsia="楷体"/>
          <w:sz w:val="20"/>
        </w:rPr>
        <w:fldChar w:fldCharType="begin"/>
      </w:r>
      <w:r>
        <w:rPr>
          <w:rFonts w:eastAsia="楷体"/>
          <w:sz w:val="20"/>
        </w:rPr>
        <w:instrText xml:space="preserve"> REF _Ref519864609 \w \h  \* MERGEFORMAT </w:instrText>
      </w:r>
      <w:r>
        <w:rPr>
          <w:rFonts w:eastAsia="楷体"/>
          <w:sz w:val="20"/>
        </w:rPr>
        <w:fldChar w:fldCharType="separate"/>
      </w:r>
      <w:r>
        <w:rPr>
          <w:rFonts w:eastAsia="楷体"/>
          <w:sz w:val="20"/>
        </w:rPr>
        <w:t>28.1</w:t>
      </w:r>
      <w:r>
        <w:rPr>
          <w:rFonts w:eastAsia="楷体"/>
          <w:sz w:val="20"/>
        </w:rPr>
        <w:fldChar w:fldCharType="end"/>
      </w:r>
      <w:r>
        <w:rPr>
          <w:rFonts w:eastAsia="楷体"/>
          <w:sz w:val="20"/>
        </w:rPr>
        <w:t>项条件并不影响第三方既有的或者根据相关中国法律享有的任何权利或救济。</w:t>
      </w:r>
    </w:p>
    <w:p w:rsidR="00681DDD">
      <w:pPr>
        <w:pStyle w:val="Heading2"/>
        <w:spacing w:line="276" w:lineRule="auto"/>
        <w:rPr>
          <w:rFonts w:eastAsia="楷体"/>
          <w:sz w:val="20"/>
        </w:rPr>
      </w:pPr>
      <w:bookmarkEnd w:id="49"/>
      <w:r>
        <w:rPr>
          <w:rFonts w:eastAsia="楷体"/>
          <w:sz w:val="20"/>
        </w:rPr>
        <w:t>每项订单均是针对买方的专门订单，买方不得出让或转让（或试图出让或转让）订单项下任何权利或者转包订单项下任何义务予任何其他人士。</w:t>
      </w:r>
    </w:p>
    <w:p w:rsidR="00681DDD">
      <w:pPr>
        <w:pStyle w:val="Heading2"/>
        <w:spacing w:line="276" w:lineRule="auto"/>
        <w:rPr>
          <w:rFonts w:eastAsia="楷体"/>
          <w:sz w:val="20"/>
        </w:rPr>
      </w:pPr>
      <w:r>
        <w:rPr>
          <w:rFonts w:eastAsia="楷体"/>
          <w:sz w:val="20"/>
        </w:rPr>
        <w:t>买方违反订单，</w:t>
      </w:r>
      <w:r>
        <w:rPr>
          <w:rFonts w:eastAsia="楷体"/>
          <w:sz w:val="20"/>
        </w:rPr>
        <w:t>Vita</w:t>
      </w:r>
      <w:r>
        <w:rPr>
          <w:rFonts w:eastAsia="楷体"/>
          <w:sz w:val="20"/>
        </w:rPr>
        <w:t>放弃追究的，买方此后再次违反相同条款或任何其他条款时，不视为</w:t>
      </w:r>
      <w:r>
        <w:rPr>
          <w:rFonts w:eastAsia="楷体"/>
          <w:sz w:val="20"/>
        </w:rPr>
        <w:t>Vita</w:t>
      </w:r>
      <w:r>
        <w:rPr>
          <w:rFonts w:eastAsia="楷体"/>
          <w:sz w:val="20"/>
        </w:rPr>
        <w:t>亦放弃追究。</w:t>
      </w:r>
      <w:r>
        <w:rPr>
          <w:rFonts w:eastAsia="楷体"/>
          <w:sz w:val="20"/>
        </w:rPr>
        <w:t>Vita</w:t>
      </w:r>
      <w:r>
        <w:rPr>
          <w:rFonts w:eastAsia="楷体"/>
          <w:sz w:val="20"/>
        </w:rPr>
        <w:t>未执行、迟延执行或部分执行订单任何条款的，不得解释为放弃任何订单权利。</w:t>
      </w:r>
    </w:p>
    <w:p w:rsidR="00681DDD">
      <w:pPr>
        <w:pStyle w:val="Heading2"/>
        <w:spacing w:line="276" w:lineRule="auto"/>
        <w:rPr>
          <w:rFonts w:eastAsia="楷体"/>
          <w:sz w:val="20"/>
        </w:rPr>
      </w:pPr>
      <w:r>
        <w:rPr>
          <w:rFonts w:eastAsia="楷体"/>
          <w:sz w:val="20"/>
        </w:rPr>
        <w:t>若任何相关部门认定条件任何条款部分或全部无效或不可执行，则该条款（或其中一部分）视为可以剥离，条件的其他条款以及相关条款的其余部分不受影响。</w:t>
      </w:r>
    </w:p>
    <w:p w:rsidR="00681DDD">
      <w:pPr>
        <w:pStyle w:val="Heading2"/>
        <w:spacing w:line="276" w:lineRule="auto"/>
        <w:rPr>
          <w:rFonts w:eastAsia="楷体"/>
          <w:sz w:val="20"/>
        </w:rPr>
      </w:pPr>
      <w:r>
        <w:rPr>
          <w:rFonts w:eastAsia="楷体"/>
          <w:sz w:val="20"/>
        </w:rPr>
        <w:t>买方应在接到</w:t>
      </w:r>
      <w:r>
        <w:rPr>
          <w:rFonts w:eastAsia="楷体"/>
          <w:sz w:val="20"/>
        </w:rPr>
        <w:t>Vita</w:t>
      </w:r>
      <w:r>
        <w:rPr>
          <w:rFonts w:eastAsia="楷体"/>
          <w:sz w:val="20"/>
        </w:rPr>
        <w:t>要求后及时采取／办理（或督促采取／办理）所有</w:t>
      </w:r>
      <w:r>
        <w:rPr>
          <w:rFonts w:eastAsia="楷体"/>
          <w:sz w:val="20"/>
        </w:rPr>
        <w:t>Vita</w:t>
      </w:r>
      <w:r>
        <w:rPr>
          <w:rFonts w:eastAsia="楷体"/>
          <w:sz w:val="20"/>
        </w:rPr>
        <w:t>不时要求的进一步措施和事项，签署</w:t>
      </w:r>
      <w:r>
        <w:rPr>
          <w:rFonts w:eastAsia="楷体"/>
          <w:sz w:val="20"/>
        </w:rPr>
        <w:t>Vita</w:t>
      </w:r>
      <w:r>
        <w:rPr>
          <w:rFonts w:eastAsia="楷体"/>
          <w:sz w:val="20"/>
        </w:rPr>
        <w:t>不时要求的所有其他文件，确保双方享受订单全部利益。</w:t>
      </w:r>
    </w:p>
    <w:p w:rsidR="00681DDD">
      <w:pPr>
        <w:pStyle w:val="Heading2"/>
        <w:spacing w:line="276" w:lineRule="auto"/>
        <w:rPr>
          <w:rFonts w:eastAsia="楷体"/>
          <w:sz w:val="20"/>
        </w:rPr>
      </w:pPr>
      <w:r>
        <w:rPr>
          <w:rFonts w:eastAsia="楷体"/>
          <w:sz w:val="20"/>
        </w:rPr>
        <w:t>不得将订单任何内容解释为在双方之间创建</w:t>
      </w:r>
      <w:r>
        <w:rPr>
          <w:rFonts w:eastAsia="楷体"/>
          <w:sz w:val="20"/>
        </w:rPr>
        <w:t>任何合伙或合营关系，或者出于任何目的将任何一方委托为另一方代理人，任何一方均无权出于任何目的约束对方或以对方名义订立合同。</w:t>
      </w:r>
    </w:p>
    <w:p w:rsidR="00681DDD">
      <w:pPr>
        <w:pStyle w:val="Heading2"/>
        <w:spacing w:line="276" w:lineRule="auto"/>
        <w:rPr>
          <w:rFonts w:eastAsia="楷体"/>
          <w:sz w:val="20"/>
        </w:rPr>
      </w:pPr>
      <w:r>
        <w:rPr>
          <w:rFonts w:eastAsia="楷体"/>
          <w:sz w:val="20"/>
        </w:rPr>
        <w:t>除非条件另有约定，订单构成双方有关商讨事宜的完整约定，任何其他条款均不适用。买方无权依据合同订立前谈判产生的任何保证、陈述或条款行事，此类保证、陈述或条款不构成订单组成部分，也并非附带保证或附带合同，除非经</w:t>
      </w:r>
      <w:r>
        <w:rPr>
          <w:rFonts w:eastAsia="楷体"/>
          <w:sz w:val="20"/>
        </w:rPr>
        <w:t>Vita</w:t>
      </w:r>
      <w:r>
        <w:rPr>
          <w:rFonts w:eastAsia="楷体"/>
          <w:sz w:val="20"/>
        </w:rPr>
        <w:t>书面确认或者除非明确载入买方订购表格为买方可以依据的保证或条件。</w:t>
      </w:r>
    </w:p>
    <w:p w:rsidR="00681DDD">
      <w:pPr>
        <w:pStyle w:val="Heading2"/>
        <w:spacing w:line="276" w:lineRule="auto"/>
        <w:rPr>
          <w:rFonts w:eastAsia="楷体"/>
          <w:sz w:val="20"/>
        </w:rPr>
      </w:pPr>
      <w:r>
        <w:rPr>
          <w:rFonts w:eastAsia="楷体"/>
          <w:sz w:val="20"/>
        </w:rPr>
        <w:t>订单以及因订单产生或与订单有关的任何非合同义务均适用中国法律，根据中国法律解释；订单相关所有争议均接受</w:t>
      </w:r>
      <w:r>
        <w:rPr>
          <w:rFonts w:eastAsia="楷体"/>
          <w:sz w:val="20"/>
        </w:rPr>
        <w:t>Vit</w:t>
      </w:r>
      <w:r>
        <w:rPr>
          <w:rFonts w:eastAsia="楷体"/>
          <w:sz w:val="20"/>
        </w:rPr>
        <w:t>a</w:t>
      </w:r>
      <w:r>
        <w:rPr>
          <w:rFonts w:eastAsia="楷体"/>
          <w:sz w:val="20"/>
        </w:rPr>
        <w:t>注册地所在有管辖权人民法院排他管辖。双方特此明确同意排除并且不接受《联合国国际货物销售合同公约》（又称</w:t>
      </w:r>
      <w:r>
        <w:rPr>
          <w:rFonts w:eastAsia="楷体"/>
          <w:sz w:val="20"/>
        </w:rPr>
        <w:t>“</w:t>
      </w:r>
      <w:r>
        <w:rPr>
          <w:rFonts w:eastAsia="楷体"/>
          <w:b/>
          <w:bCs/>
          <w:sz w:val="20"/>
        </w:rPr>
        <w:t>维也纳公约</w:t>
      </w:r>
      <w:r>
        <w:rPr>
          <w:rFonts w:eastAsia="楷体"/>
          <w:sz w:val="20"/>
        </w:rPr>
        <w:t>”</w:t>
      </w:r>
      <w:r>
        <w:rPr>
          <w:rFonts w:eastAsia="楷体"/>
          <w:sz w:val="20"/>
        </w:rPr>
        <w:t>）及其任何后继公约或公约适用于订单。</w:t>
      </w:r>
    </w:p>
    <w:tbl>
      <w:tblPr>
        <w:tblW w:w="9828" w:type="dxa"/>
        <w:tblInd w:w="1002"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Layout w:type="fixed"/>
        <w:tblLook w:val="04A0"/>
      </w:tblPr>
      <w:tblGrid>
        <w:gridCol w:w="1638"/>
        <w:gridCol w:w="8190"/>
      </w:tblGrid>
      <w:tr>
        <w:tblPrEx>
          <w:tblW w:w="9828" w:type="dxa"/>
          <w:tblInd w:w="1002"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Layout w:type="fixed"/>
          <w:tblLook w:val="04A0"/>
        </w:tblPrEx>
        <w:trPr>
          <w:trHeight w:val="2516"/>
        </w:trPr>
        <w:tc>
          <w:tcPr>
            <w:tcW w:w="1638" w:type="dxa"/>
            <w:tcBorders>
              <w:top w:val="single" w:sz="4" w:space="0" w:color="00A5E7"/>
              <w:left w:val="single" w:sz="4" w:space="0" w:color="00A5E7"/>
              <w:bottom w:val="single" w:sz="4" w:space="0" w:color="00A5E7"/>
              <w:right w:val="single" w:sz="4" w:space="0" w:color="00A5E7"/>
            </w:tcBorders>
            <w:shd w:val="clear" w:color="auto" w:fill="auto"/>
          </w:tcPr>
          <w:p w:rsidR="00681DDD">
            <w:pPr>
              <w:pStyle w:val="Table-Text"/>
              <w:overflowPunct w:val="0"/>
              <w:autoSpaceDE w:val="0"/>
              <w:autoSpaceDN w:val="0"/>
              <w:spacing w:before="0" w:after="240" w:line="276" w:lineRule="auto"/>
              <w:jc w:val="both"/>
              <w:textAlignment w:val="baseline"/>
              <w:rPr>
                <w:rFonts w:ascii="Arial" w:eastAsia="楷体" w:hAnsi="Arial" w:cs="Arial"/>
                <w:b/>
                <w:sz w:val="20"/>
              </w:rPr>
            </w:pPr>
            <w:r>
              <w:rPr>
                <w:rFonts w:ascii="Arial" w:eastAsia="楷体" w:hAnsi="Arial" w:cs="Arial"/>
                <w:b/>
                <w:sz w:val="20"/>
              </w:rPr>
              <w:t>签字：</w:t>
            </w:r>
          </w:p>
        </w:tc>
        <w:tc>
          <w:tcPr>
            <w:tcW w:w="8190" w:type="dxa"/>
            <w:tcBorders>
              <w:top w:val="single" w:sz="4" w:space="0" w:color="00A5E7"/>
              <w:left w:val="single" w:sz="4" w:space="0" w:color="00A5E7"/>
              <w:bottom w:val="single" w:sz="4" w:space="0" w:color="00A5E7"/>
              <w:right w:val="single" w:sz="4" w:space="0" w:color="00A5E7"/>
            </w:tcBorders>
            <w:shd w:val="clear" w:color="auto" w:fill="auto"/>
          </w:tcPr>
          <w:p w:rsidR="00681DDD">
            <w:pPr>
              <w:spacing w:line="276" w:lineRule="auto"/>
              <w:rPr>
                <w:rFonts w:ascii="Arial" w:eastAsia="楷体" w:hAnsi="Arial" w:cs="Arial"/>
                <w:sz w:val="20"/>
              </w:rPr>
            </w:pPr>
          </w:p>
          <w:tbl>
            <w:tblPr>
              <w:tblW w:w="0" w:type="auto"/>
              <w:tblBorders>
                <w:top w:val="single" w:sz="4" w:space="0" w:color="00A5E7"/>
                <w:left w:val="single" w:sz="4" w:space="0" w:color="00A5E7"/>
                <w:bottom w:val="single" w:sz="4" w:space="0" w:color="00A5E7"/>
                <w:right w:val="single" w:sz="4" w:space="0" w:color="00A5E7"/>
                <w:insideH w:val="single" w:sz="4" w:space="0" w:color="00A5E7"/>
                <w:insideV w:val="single" w:sz="4" w:space="0" w:color="00A5E7"/>
              </w:tblBorders>
              <w:tblLayout w:type="fixed"/>
              <w:tblLook w:val="04A0"/>
            </w:tblPr>
            <w:tblGrid>
              <w:gridCol w:w="3937"/>
              <w:gridCol w:w="3960"/>
            </w:tblGrid>
            <w:tr>
              <w:tblPrEx>
                <w:tblW w:w="0" w:type="auto"/>
                <w:tblBorders>
                  <w:top w:val="single" w:sz="4" w:space="0" w:color="00A5E7"/>
                  <w:left w:val="single" w:sz="4" w:space="0" w:color="00A5E7"/>
                  <w:bottom w:val="single" w:sz="4" w:space="0" w:color="00A5E7"/>
                  <w:right w:val="single" w:sz="4" w:space="0" w:color="00A5E7"/>
                  <w:insideH w:val="single" w:sz="4" w:space="0" w:color="00A5E7"/>
                  <w:insideV w:val="single" w:sz="4" w:space="0" w:color="00A5E7"/>
                </w:tblBorders>
                <w:tblLayout w:type="fixed"/>
                <w:tblLook w:val="04A0"/>
              </w:tblPrEx>
              <w:trPr>
                <w:trHeight w:val="1399"/>
              </w:trPr>
              <w:tc>
                <w:tcPr>
                  <w:tcW w:w="3937" w:type="dxa"/>
                  <w:shd w:val="clear" w:color="auto" w:fill="auto"/>
                </w:tcPr>
                <w:p w:rsidR="00681DDD">
                  <w:pPr>
                    <w:pStyle w:val="Table-Text"/>
                    <w:overflowPunct w:val="0"/>
                    <w:autoSpaceDE w:val="0"/>
                    <w:autoSpaceDN w:val="0"/>
                    <w:spacing w:before="0" w:after="240" w:line="276" w:lineRule="auto"/>
                    <w:jc w:val="both"/>
                    <w:textAlignment w:val="baseline"/>
                    <w:rPr>
                      <w:rFonts w:ascii="Arial" w:eastAsia="楷体" w:hAnsi="Arial" w:cs="Arial"/>
                      <w:sz w:val="20"/>
                    </w:rPr>
                  </w:pPr>
                  <w:r>
                    <w:rPr>
                      <w:rFonts w:ascii="Arial" w:eastAsia="楷体" w:hAnsi="Arial" w:cs="Arial"/>
                      <w:sz w:val="20"/>
                    </w:rPr>
                    <w:t>签字：</w:t>
                  </w:r>
                </w:p>
                <w:p w:rsidR="00681DDD">
                  <w:pPr>
                    <w:pStyle w:val="Table-Text"/>
                    <w:overflowPunct w:val="0"/>
                    <w:autoSpaceDE w:val="0"/>
                    <w:autoSpaceDN w:val="0"/>
                    <w:spacing w:before="0" w:after="240" w:line="276" w:lineRule="auto"/>
                    <w:jc w:val="both"/>
                    <w:textAlignment w:val="baseline"/>
                    <w:rPr>
                      <w:rFonts w:ascii="Arial" w:eastAsia="楷体" w:hAnsi="Arial" w:cs="Arial"/>
                      <w:sz w:val="20"/>
                      <w:u w:val="dotted"/>
                    </w:rPr>
                  </w:pPr>
                  <w:r>
                    <w:rPr>
                      <w:rFonts w:ascii="Arial" w:eastAsia="楷体" w:hAnsi="Arial" w:cs="Arial"/>
                      <w:sz w:val="20"/>
                      <w:u w:val="dotted"/>
                    </w:rPr>
                    <w:tab/>
                  </w:r>
                  <w:r>
                    <w:rPr>
                      <w:rFonts w:ascii="Arial" w:eastAsia="楷体" w:hAnsi="Arial" w:cs="Arial"/>
                      <w:sz w:val="20"/>
                      <w:u w:val="dotted"/>
                    </w:rPr>
                    <w:tab/>
                  </w:r>
                  <w:r>
                    <w:rPr>
                      <w:rFonts w:ascii="Arial" w:eastAsia="楷体" w:hAnsi="Arial" w:cs="Arial"/>
                      <w:sz w:val="20"/>
                      <w:u w:val="dotted"/>
                    </w:rPr>
                    <w:tab/>
                  </w:r>
                  <w:r>
                    <w:rPr>
                      <w:rFonts w:ascii="Arial" w:eastAsia="楷体" w:hAnsi="Arial" w:cs="Arial"/>
                      <w:sz w:val="20"/>
                      <w:u w:val="dotted"/>
                    </w:rPr>
                    <w:tab/>
                  </w:r>
                </w:p>
                <w:p w:rsidR="00681DDD">
                  <w:pPr>
                    <w:pStyle w:val="Table-Text"/>
                    <w:overflowPunct w:val="0"/>
                    <w:autoSpaceDE w:val="0"/>
                    <w:autoSpaceDN w:val="0"/>
                    <w:spacing w:before="0" w:after="240" w:line="276" w:lineRule="auto"/>
                    <w:jc w:val="both"/>
                    <w:textAlignment w:val="baseline"/>
                    <w:rPr>
                      <w:rFonts w:ascii="Arial" w:eastAsia="楷体" w:hAnsi="Arial" w:cs="Arial"/>
                      <w:sz w:val="20"/>
                    </w:rPr>
                  </w:pPr>
                  <w:r>
                    <w:rPr>
                      <w:rFonts w:ascii="Arial" w:eastAsia="楷体" w:hAnsi="Arial" w:cs="Arial"/>
                      <w:sz w:val="20"/>
                    </w:rPr>
                    <w:t>为且代表</w:t>
                  </w:r>
                  <w:r>
                    <w:rPr>
                      <w:rFonts w:ascii="Arial" w:eastAsia="楷体" w:hAnsi="Arial" w:cs="Arial"/>
                      <w:sz w:val="20"/>
                    </w:rPr>
                    <w:t xml:space="preserve"> </w:t>
                  </w:r>
                  <w:r>
                    <w:rPr>
                      <w:rFonts w:ascii="Arial" w:eastAsia="楷体" w:hAnsi="Arial" w:cs="Arial"/>
                      <w:b/>
                      <w:sz w:val="20"/>
                    </w:rPr>
                    <w:t>VITA</w:t>
                  </w:r>
                </w:p>
                <w:p w:rsidR="00681DDD">
                  <w:pPr>
                    <w:pStyle w:val="Table-Text"/>
                    <w:overflowPunct w:val="0"/>
                    <w:autoSpaceDE w:val="0"/>
                    <w:autoSpaceDN w:val="0"/>
                    <w:spacing w:before="0" w:after="240" w:line="276" w:lineRule="auto"/>
                    <w:jc w:val="both"/>
                    <w:textAlignment w:val="baseline"/>
                    <w:rPr>
                      <w:rFonts w:ascii="Arial" w:eastAsia="楷体" w:hAnsi="Arial" w:cs="Arial"/>
                      <w:sz w:val="20"/>
                      <w:u w:val="dotted"/>
                    </w:rPr>
                  </w:pPr>
                  <w:r>
                    <w:rPr>
                      <w:rFonts w:ascii="Arial" w:eastAsia="楷体" w:hAnsi="Arial" w:cs="Arial"/>
                      <w:sz w:val="20"/>
                    </w:rPr>
                    <w:t>日期：</w:t>
                  </w:r>
                  <w:r>
                    <w:rPr>
                      <w:rFonts w:ascii="Arial" w:eastAsia="楷体" w:hAnsi="Arial" w:cs="Arial"/>
                      <w:sz w:val="20"/>
                    </w:rPr>
                    <w:t xml:space="preserve"> </w:t>
                  </w:r>
                  <w:r>
                    <w:rPr>
                      <w:rFonts w:ascii="Arial" w:eastAsia="楷体" w:hAnsi="Arial" w:cs="Arial"/>
                      <w:sz w:val="20"/>
                      <w:u w:val="dotted"/>
                    </w:rPr>
                    <w:tab/>
                  </w:r>
                  <w:r>
                    <w:rPr>
                      <w:rFonts w:ascii="Arial" w:eastAsia="楷体" w:hAnsi="Arial" w:cs="Arial"/>
                      <w:sz w:val="20"/>
                      <w:u w:val="dotted"/>
                    </w:rPr>
                    <w:tab/>
                  </w:r>
                  <w:r>
                    <w:rPr>
                      <w:rFonts w:ascii="Arial" w:eastAsia="楷体" w:hAnsi="Arial" w:cs="Arial"/>
                      <w:sz w:val="20"/>
                      <w:u w:val="dotted"/>
                    </w:rPr>
                    <w:tab/>
                  </w:r>
                  <w:r>
                    <w:rPr>
                      <w:rFonts w:ascii="Arial" w:eastAsia="楷体" w:hAnsi="Arial" w:cs="Arial"/>
                      <w:sz w:val="20"/>
                      <w:u w:val="dotted"/>
                    </w:rPr>
                    <w:tab/>
                  </w:r>
                </w:p>
                <w:p w:rsidR="00681DDD">
                  <w:pPr>
                    <w:pStyle w:val="Table-Text"/>
                    <w:overflowPunct w:val="0"/>
                    <w:autoSpaceDE w:val="0"/>
                    <w:autoSpaceDN w:val="0"/>
                    <w:spacing w:before="0" w:after="240" w:line="276" w:lineRule="auto"/>
                    <w:jc w:val="both"/>
                    <w:textAlignment w:val="baseline"/>
                    <w:rPr>
                      <w:rFonts w:ascii="Arial" w:eastAsia="楷体" w:hAnsi="Arial" w:cs="Arial"/>
                      <w:sz w:val="20"/>
                      <w:u w:val="dotted"/>
                    </w:rPr>
                  </w:pPr>
                  <w:r>
                    <w:rPr>
                      <w:rFonts w:ascii="Arial" w:eastAsia="楷体" w:hAnsi="Arial" w:cs="Arial"/>
                      <w:sz w:val="20"/>
                      <w:u w:val="dotted"/>
                    </w:rPr>
                    <w:t>公司印章：</w:t>
                  </w:r>
                </w:p>
                <w:p w:rsidR="00681DDD">
                  <w:pPr>
                    <w:pStyle w:val="Table-Text"/>
                    <w:overflowPunct w:val="0"/>
                    <w:autoSpaceDE w:val="0"/>
                    <w:autoSpaceDN w:val="0"/>
                    <w:spacing w:before="0" w:after="240" w:line="276" w:lineRule="auto"/>
                    <w:jc w:val="both"/>
                    <w:textAlignment w:val="baseline"/>
                    <w:rPr>
                      <w:rFonts w:ascii="Arial" w:eastAsia="楷体" w:hAnsi="Arial" w:cs="Arial"/>
                      <w:sz w:val="20"/>
                    </w:rPr>
                  </w:pPr>
                </w:p>
              </w:tc>
              <w:tc>
                <w:tcPr>
                  <w:tcW w:w="3960" w:type="dxa"/>
                  <w:shd w:val="clear" w:color="auto" w:fill="auto"/>
                </w:tcPr>
                <w:p w:rsidR="00681DDD">
                  <w:pPr>
                    <w:pStyle w:val="Table-Text"/>
                    <w:overflowPunct w:val="0"/>
                    <w:autoSpaceDE w:val="0"/>
                    <w:autoSpaceDN w:val="0"/>
                    <w:spacing w:before="0" w:after="240" w:line="276" w:lineRule="auto"/>
                    <w:jc w:val="both"/>
                    <w:textAlignment w:val="baseline"/>
                    <w:rPr>
                      <w:rFonts w:ascii="Arial" w:eastAsia="楷体" w:hAnsi="Arial" w:cs="Arial"/>
                      <w:sz w:val="20"/>
                    </w:rPr>
                  </w:pPr>
                  <w:r>
                    <w:rPr>
                      <w:rFonts w:ascii="Arial" w:eastAsia="楷体" w:hAnsi="Arial" w:cs="Arial"/>
                      <w:sz w:val="20"/>
                    </w:rPr>
                    <w:t>签字：</w:t>
                  </w:r>
                </w:p>
                <w:p w:rsidR="00681DDD">
                  <w:pPr>
                    <w:pStyle w:val="Table-Text"/>
                    <w:overflowPunct w:val="0"/>
                    <w:autoSpaceDE w:val="0"/>
                    <w:autoSpaceDN w:val="0"/>
                    <w:spacing w:before="0" w:after="240" w:line="276" w:lineRule="auto"/>
                    <w:jc w:val="both"/>
                    <w:textAlignment w:val="baseline"/>
                    <w:rPr>
                      <w:rFonts w:ascii="Arial" w:eastAsia="楷体" w:hAnsi="Arial" w:cs="Arial"/>
                      <w:sz w:val="20"/>
                      <w:u w:val="dotted"/>
                    </w:rPr>
                  </w:pPr>
                  <w:r>
                    <w:rPr>
                      <w:rFonts w:ascii="Arial" w:eastAsia="楷体" w:hAnsi="Arial" w:cs="Arial"/>
                      <w:sz w:val="20"/>
                      <w:u w:val="dotted"/>
                    </w:rPr>
                    <w:tab/>
                  </w:r>
                  <w:r>
                    <w:rPr>
                      <w:rFonts w:ascii="Arial" w:eastAsia="楷体" w:hAnsi="Arial" w:cs="Arial"/>
                      <w:sz w:val="20"/>
                      <w:u w:val="dotted"/>
                    </w:rPr>
                    <w:tab/>
                  </w:r>
                  <w:r>
                    <w:rPr>
                      <w:rFonts w:ascii="Arial" w:eastAsia="楷体" w:hAnsi="Arial" w:cs="Arial"/>
                      <w:sz w:val="20"/>
                      <w:u w:val="dotted"/>
                    </w:rPr>
                    <w:tab/>
                  </w:r>
                  <w:r>
                    <w:rPr>
                      <w:rFonts w:ascii="Arial" w:eastAsia="楷体" w:hAnsi="Arial" w:cs="Arial"/>
                      <w:sz w:val="20"/>
                      <w:u w:val="dotted"/>
                    </w:rPr>
                    <w:tab/>
                  </w:r>
                </w:p>
                <w:p w:rsidR="00681DDD">
                  <w:pPr>
                    <w:pStyle w:val="Table-Text"/>
                    <w:overflowPunct w:val="0"/>
                    <w:autoSpaceDE w:val="0"/>
                    <w:autoSpaceDN w:val="0"/>
                    <w:spacing w:before="0" w:after="240" w:line="276" w:lineRule="auto"/>
                    <w:jc w:val="both"/>
                    <w:textAlignment w:val="baseline"/>
                    <w:rPr>
                      <w:rFonts w:ascii="Arial" w:eastAsia="楷体" w:hAnsi="Arial" w:cs="Arial"/>
                      <w:sz w:val="20"/>
                    </w:rPr>
                  </w:pPr>
                  <w:r>
                    <w:rPr>
                      <w:rFonts w:ascii="Arial" w:eastAsia="楷体" w:hAnsi="Arial" w:cs="Arial"/>
                      <w:sz w:val="20"/>
                    </w:rPr>
                    <w:t>为且代表</w:t>
                  </w:r>
                  <w:r>
                    <w:rPr>
                      <w:rFonts w:ascii="Arial" w:eastAsia="楷体" w:hAnsi="Arial" w:cs="Arial"/>
                      <w:b/>
                      <w:sz w:val="20"/>
                    </w:rPr>
                    <w:t>买方</w:t>
                  </w:r>
                </w:p>
                <w:p w:rsidR="00681DDD">
                  <w:pPr>
                    <w:pStyle w:val="Table-Text"/>
                    <w:overflowPunct w:val="0"/>
                    <w:autoSpaceDE w:val="0"/>
                    <w:autoSpaceDN w:val="0"/>
                    <w:spacing w:before="0" w:after="240" w:line="276" w:lineRule="auto"/>
                    <w:jc w:val="both"/>
                    <w:textAlignment w:val="baseline"/>
                    <w:rPr>
                      <w:rFonts w:ascii="Arial" w:eastAsia="楷体" w:hAnsi="Arial" w:cs="Arial"/>
                      <w:sz w:val="20"/>
                      <w:u w:val="dotted"/>
                    </w:rPr>
                  </w:pPr>
                  <w:r>
                    <w:rPr>
                      <w:rFonts w:ascii="Arial" w:eastAsia="楷体" w:hAnsi="Arial" w:cs="Arial"/>
                      <w:sz w:val="20"/>
                    </w:rPr>
                    <w:t>日期：</w:t>
                  </w:r>
                  <w:r>
                    <w:rPr>
                      <w:rFonts w:ascii="Arial" w:eastAsia="楷体" w:hAnsi="Arial" w:cs="Arial"/>
                      <w:sz w:val="20"/>
                    </w:rPr>
                    <w:t xml:space="preserve"> </w:t>
                  </w:r>
                  <w:r>
                    <w:rPr>
                      <w:rFonts w:ascii="Arial" w:eastAsia="楷体" w:hAnsi="Arial" w:cs="Arial"/>
                      <w:sz w:val="20"/>
                      <w:u w:val="dotted"/>
                    </w:rPr>
                    <w:tab/>
                  </w:r>
                  <w:r>
                    <w:rPr>
                      <w:rFonts w:ascii="Arial" w:eastAsia="楷体" w:hAnsi="Arial" w:cs="Arial"/>
                      <w:sz w:val="20"/>
                      <w:u w:val="dotted"/>
                    </w:rPr>
                    <w:tab/>
                  </w:r>
                  <w:r>
                    <w:rPr>
                      <w:rFonts w:ascii="Arial" w:eastAsia="楷体" w:hAnsi="Arial" w:cs="Arial"/>
                      <w:sz w:val="20"/>
                      <w:u w:val="dotted"/>
                    </w:rPr>
                    <w:tab/>
                  </w:r>
                  <w:r>
                    <w:rPr>
                      <w:rFonts w:ascii="Arial" w:eastAsia="楷体" w:hAnsi="Arial" w:cs="Arial"/>
                      <w:sz w:val="20"/>
                      <w:u w:val="dotted"/>
                    </w:rPr>
                    <w:tab/>
                  </w:r>
                </w:p>
                <w:p w:rsidR="00681DDD">
                  <w:pPr>
                    <w:pStyle w:val="Table-Text"/>
                    <w:overflowPunct w:val="0"/>
                    <w:autoSpaceDE w:val="0"/>
                    <w:autoSpaceDN w:val="0"/>
                    <w:spacing w:before="0" w:after="240" w:line="276" w:lineRule="auto"/>
                    <w:jc w:val="both"/>
                    <w:textAlignment w:val="baseline"/>
                    <w:rPr>
                      <w:rFonts w:ascii="Arial" w:eastAsia="楷体" w:hAnsi="Arial" w:cs="Arial"/>
                      <w:sz w:val="20"/>
                    </w:rPr>
                  </w:pPr>
                  <w:r>
                    <w:rPr>
                      <w:rFonts w:ascii="Arial" w:eastAsia="楷体" w:hAnsi="Arial" w:cs="Arial"/>
                      <w:sz w:val="20"/>
                      <w:u w:val="dotted"/>
                    </w:rPr>
                    <w:t>公司印章：</w:t>
                  </w:r>
                </w:p>
              </w:tc>
            </w:tr>
          </w:tbl>
          <w:p w:rsidR="00681DDD">
            <w:pPr>
              <w:pStyle w:val="Table-Text"/>
              <w:overflowPunct w:val="0"/>
              <w:autoSpaceDE w:val="0"/>
              <w:autoSpaceDN w:val="0"/>
              <w:spacing w:before="0" w:after="240" w:line="276" w:lineRule="auto"/>
              <w:jc w:val="both"/>
              <w:textAlignment w:val="baseline"/>
              <w:rPr>
                <w:rFonts w:ascii="Arial" w:eastAsia="楷体" w:hAnsi="Arial" w:cs="Arial"/>
                <w:sz w:val="20"/>
              </w:rPr>
            </w:pPr>
          </w:p>
        </w:tc>
      </w:tr>
    </w:tbl>
    <w:p w:rsidR="00681DDD">
      <w:pPr>
        <w:keepNext/>
        <w:tabs>
          <w:tab w:val="num" w:pos="0"/>
        </w:tabs>
        <w:overflowPunct/>
        <w:autoSpaceDE/>
        <w:autoSpaceDN/>
        <w:spacing w:line="276" w:lineRule="auto"/>
        <w:jc w:val="left"/>
        <w:textAlignment w:val="auto"/>
        <w:outlineLvl w:val="0"/>
        <w:rPr>
          <w:rFonts w:ascii="Arial" w:eastAsia="楷体" w:hAnsi="Arial" w:cs="Arial"/>
          <w:b/>
          <w:bCs/>
          <w:caps/>
          <w:sz w:val="20"/>
          <w:lang w:eastAsia="zh-CN"/>
        </w:rPr>
      </w:pPr>
    </w:p>
    <w:p w:rsidR="00681DDD">
      <w:pPr>
        <w:pStyle w:val="Heading2"/>
        <w:numPr>
          <w:ilvl w:val="0"/>
          <w:numId w:val="0"/>
        </w:numPr>
        <w:spacing w:line="276" w:lineRule="auto"/>
        <w:ind w:left="1440" w:hanging="720"/>
        <w:jc w:val="center"/>
        <w:rPr>
          <w:rFonts w:eastAsia="楷体"/>
          <w:b/>
          <w:color w:val="00A5E7"/>
          <w:sz w:val="20"/>
        </w:rPr>
      </w:pPr>
      <w:r>
        <w:rPr>
          <w:rFonts w:eastAsia="楷体"/>
          <w:b/>
          <w:color w:val="00A5E7"/>
          <w:sz w:val="20"/>
        </w:rPr>
        <w:br w:type="page"/>
      </w:r>
      <w:r>
        <w:rPr>
          <w:rFonts w:eastAsia="楷体"/>
          <w:b/>
          <w:color w:val="00A5E7"/>
          <w:sz w:val="20"/>
        </w:rPr>
        <w:t>附件</w:t>
      </w:r>
      <w:r>
        <w:rPr>
          <w:rFonts w:eastAsia="楷体"/>
          <w:b/>
          <w:color w:val="00A5E7"/>
          <w:sz w:val="20"/>
        </w:rPr>
        <w:t>1</w:t>
      </w:r>
      <w:r>
        <w:rPr>
          <w:rFonts w:eastAsia="楷体"/>
          <w:b/>
          <w:color w:val="00A5E7"/>
          <w:sz w:val="20"/>
        </w:rPr>
        <w:t>：数据处理、个人数据和数据主体</w:t>
      </w:r>
    </w:p>
    <w:tbl>
      <w:tblPr>
        <w:tblW w:w="0" w:type="auto"/>
        <w:tblInd w:w="1029" w:type="dxa"/>
        <w:tblBorders>
          <w:top w:val="single" w:sz="4" w:space="0" w:color="00A5E7"/>
          <w:left w:val="single" w:sz="4" w:space="0" w:color="00A5E7"/>
          <w:bottom w:val="single" w:sz="4" w:space="0" w:color="00A5E7"/>
          <w:right w:val="single" w:sz="4" w:space="0" w:color="00A5E7"/>
          <w:insideH w:val="single" w:sz="4" w:space="0" w:color="00A5E7"/>
          <w:insideV w:val="single" w:sz="4" w:space="0" w:color="00A5E7"/>
        </w:tblBorders>
        <w:tblLayout w:type="fixed"/>
        <w:tblLook w:val="04A0"/>
      </w:tblPr>
      <w:tblGrid>
        <w:gridCol w:w="1865"/>
        <w:gridCol w:w="7359"/>
      </w:tblGrid>
      <w:tr>
        <w:tblPrEx>
          <w:tblW w:w="0" w:type="auto"/>
          <w:tblInd w:w="1029" w:type="dxa"/>
          <w:tblBorders>
            <w:top w:val="single" w:sz="4" w:space="0" w:color="00A5E7"/>
            <w:left w:val="single" w:sz="4" w:space="0" w:color="00A5E7"/>
            <w:bottom w:val="single" w:sz="4" w:space="0" w:color="00A5E7"/>
            <w:right w:val="single" w:sz="4" w:space="0" w:color="00A5E7"/>
            <w:insideH w:val="single" w:sz="4" w:space="0" w:color="00A5E7"/>
            <w:insideV w:val="single" w:sz="4" w:space="0" w:color="00A5E7"/>
          </w:tblBorders>
          <w:tblLayout w:type="fixed"/>
          <w:tblLook w:val="04A0"/>
        </w:tblPrEx>
        <w:trPr>
          <w:trHeight w:val="476"/>
        </w:trPr>
        <w:tc>
          <w:tcPr>
            <w:tcW w:w="1865" w:type="dxa"/>
            <w:tcBorders>
              <w:top w:val="single" w:sz="4" w:space="0" w:color="00A5E7"/>
              <w:left w:val="single" w:sz="4" w:space="0" w:color="00A5E7"/>
              <w:bottom w:val="single" w:sz="4" w:space="0" w:color="00A5E7"/>
              <w:right w:val="single" w:sz="4" w:space="0" w:color="00A5E7"/>
            </w:tcBorders>
            <w:shd w:val="clear" w:color="auto" w:fill="00B0F0"/>
            <w:hideMark/>
          </w:tcPr>
          <w:p w:rsidR="00681DDD">
            <w:pPr>
              <w:overflowPunct/>
              <w:autoSpaceDE/>
              <w:autoSpaceDN/>
              <w:spacing w:line="276" w:lineRule="auto"/>
              <w:jc w:val="left"/>
              <w:textAlignment w:val="auto"/>
              <w:rPr>
                <w:rFonts w:ascii="Arial" w:eastAsia="楷体" w:hAnsi="Arial" w:cs="Arial"/>
                <w:color w:val="FFFFFF"/>
                <w:sz w:val="20"/>
                <w:lang w:eastAsia="zh-CN"/>
              </w:rPr>
            </w:pPr>
            <w:r>
              <w:rPr>
                <w:rFonts w:ascii="Arial" w:eastAsia="楷体" w:hAnsi="Arial" w:cs="Arial"/>
                <w:color w:val="FFFFFF"/>
                <w:sz w:val="20"/>
                <w:lang w:eastAsia="zh-CN"/>
              </w:rPr>
              <w:t>内容</w:t>
            </w:r>
          </w:p>
        </w:tc>
        <w:tc>
          <w:tcPr>
            <w:tcW w:w="7359" w:type="dxa"/>
            <w:tcBorders>
              <w:top w:val="single" w:sz="4" w:space="0" w:color="00A5E7"/>
              <w:left w:val="single" w:sz="4" w:space="0" w:color="00A5E7"/>
              <w:bottom w:val="single" w:sz="4" w:space="0" w:color="00A5E7"/>
              <w:right w:val="single" w:sz="4" w:space="0" w:color="00A5E7"/>
            </w:tcBorders>
            <w:shd w:val="clear" w:color="auto" w:fill="00B0F0"/>
            <w:hideMark/>
          </w:tcPr>
          <w:p w:rsidR="00681DDD">
            <w:pPr>
              <w:overflowPunct/>
              <w:autoSpaceDE/>
              <w:autoSpaceDN/>
              <w:spacing w:line="276" w:lineRule="auto"/>
              <w:jc w:val="left"/>
              <w:textAlignment w:val="auto"/>
              <w:rPr>
                <w:rFonts w:ascii="Arial" w:eastAsia="楷体" w:hAnsi="Arial" w:cs="Arial"/>
                <w:color w:val="FFFFFF"/>
                <w:sz w:val="20"/>
                <w:lang w:eastAsia="zh-CN"/>
              </w:rPr>
            </w:pPr>
            <w:r>
              <w:rPr>
                <w:rFonts w:ascii="Arial" w:eastAsia="楷体" w:hAnsi="Arial" w:cs="Arial"/>
                <w:color w:val="FFFFFF"/>
                <w:sz w:val="20"/>
                <w:lang w:eastAsia="zh-CN"/>
              </w:rPr>
              <w:t>详情</w:t>
            </w:r>
          </w:p>
        </w:tc>
      </w:tr>
      <w:tr>
        <w:tblPrEx>
          <w:tblW w:w="0" w:type="auto"/>
          <w:tblInd w:w="1029" w:type="dxa"/>
          <w:tblLayout w:type="fixed"/>
          <w:tblLook w:val="04A0"/>
        </w:tblPrEx>
        <w:trPr>
          <w:trHeight w:val="883"/>
        </w:trPr>
        <w:tc>
          <w:tcPr>
            <w:tcW w:w="1865" w:type="dxa"/>
            <w:tcBorders>
              <w:top w:val="single" w:sz="4" w:space="0" w:color="00A5E7"/>
              <w:left w:val="single" w:sz="4" w:space="0" w:color="00A5E7"/>
              <w:bottom w:val="single" w:sz="4" w:space="0" w:color="00A5E7"/>
              <w:right w:val="single" w:sz="4" w:space="0" w:color="00A5E7"/>
            </w:tcBorders>
            <w:hideMark/>
          </w:tcPr>
          <w:p w:rsidR="00681DDD">
            <w:pPr>
              <w:overflowPunct/>
              <w:autoSpaceDE/>
              <w:autoSpaceDN/>
              <w:spacing w:line="276" w:lineRule="auto"/>
              <w:jc w:val="left"/>
              <w:textAlignment w:val="auto"/>
              <w:rPr>
                <w:rFonts w:ascii="Arial" w:eastAsia="楷体" w:hAnsi="Arial" w:cs="Arial"/>
                <w:sz w:val="20"/>
                <w:lang w:eastAsia="zh-CN"/>
              </w:rPr>
            </w:pPr>
            <w:r>
              <w:rPr>
                <w:rFonts w:ascii="Arial" w:eastAsia="楷体" w:hAnsi="Arial" w:cs="Arial"/>
                <w:sz w:val="20"/>
                <w:lang w:eastAsia="zh-CN"/>
              </w:rPr>
              <w:t>处理主体与时长</w:t>
            </w:r>
          </w:p>
        </w:tc>
        <w:tc>
          <w:tcPr>
            <w:tcW w:w="7359" w:type="dxa"/>
            <w:tcBorders>
              <w:top w:val="single" w:sz="4" w:space="0" w:color="00A5E7"/>
              <w:left w:val="single" w:sz="4" w:space="0" w:color="00A5E7"/>
              <w:bottom w:val="single" w:sz="4" w:space="0" w:color="00A5E7"/>
              <w:right w:val="single" w:sz="4" w:space="0" w:color="00A5E7"/>
            </w:tcBorders>
            <w:hideMark/>
          </w:tcPr>
          <w:p w:rsidR="00681DDD">
            <w:pPr>
              <w:overflowPunct/>
              <w:autoSpaceDE/>
              <w:autoSpaceDN/>
              <w:spacing w:line="276" w:lineRule="auto"/>
              <w:jc w:val="left"/>
              <w:textAlignment w:val="auto"/>
              <w:rPr>
                <w:rFonts w:ascii="Arial" w:eastAsia="楷体" w:hAnsi="Arial" w:cs="Arial"/>
                <w:sz w:val="20"/>
                <w:lang w:eastAsia="zh-CN"/>
              </w:rPr>
            </w:pPr>
            <w:r>
              <w:rPr>
                <w:rFonts w:ascii="Arial" w:eastAsia="楷体" w:hAnsi="Arial" w:cs="Arial"/>
                <w:sz w:val="20"/>
                <w:lang w:eastAsia="zh-CN"/>
              </w:rPr>
              <w:t>依订单</w:t>
            </w:r>
          </w:p>
        </w:tc>
      </w:tr>
      <w:tr>
        <w:tblPrEx>
          <w:tblW w:w="0" w:type="auto"/>
          <w:tblInd w:w="1029" w:type="dxa"/>
          <w:tblLayout w:type="fixed"/>
          <w:tblLook w:val="04A0"/>
        </w:tblPrEx>
        <w:trPr>
          <w:trHeight w:val="883"/>
        </w:trPr>
        <w:tc>
          <w:tcPr>
            <w:tcW w:w="1865" w:type="dxa"/>
            <w:tcBorders>
              <w:top w:val="single" w:sz="4" w:space="0" w:color="00A5E7"/>
              <w:left w:val="single" w:sz="4" w:space="0" w:color="00A5E7"/>
              <w:bottom w:val="single" w:sz="4" w:space="0" w:color="00A5E7"/>
              <w:right w:val="single" w:sz="4" w:space="0" w:color="00A5E7"/>
            </w:tcBorders>
            <w:hideMark/>
          </w:tcPr>
          <w:p w:rsidR="00681DDD">
            <w:pPr>
              <w:overflowPunct/>
              <w:autoSpaceDE/>
              <w:autoSpaceDN/>
              <w:spacing w:line="276" w:lineRule="auto"/>
              <w:jc w:val="left"/>
              <w:textAlignment w:val="auto"/>
              <w:rPr>
                <w:rFonts w:ascii="Arial" w:eastAsia="楷体" w:hAnsi="Arial" w:cs="Arial"/>
                <w:sz w:val="20"/>
                <w:lang w:eastAsia="zh-CN"/>
              </w:rPr>
            </w:pPr>
            <w:r>
              <w:rPr>
                <w:rFonts w:ascii="Arial" w:eastAsia="楷体" w:hAnsi="Arial" w:cs="Arial"/>
                <w:sz w:val="20"/>
                <w:lang w:eastAsia="zh-CN"/>
              </w:rPr>
              <w:t>处理性质与目的</w:t>
            </w:r>
          </w:p>
        </w:tc>
        <w:tc>
          <w:tcPr>
            <w:tcW w:w="7359" w:type="dxa"/>
            <w:tcBorders>
              <w:top w:val="single" w:sz="4" w:space="0" w:color="00A5E7"/>
              <w:left w:val="single" w:sz="4" w:space="0" w:color="00A5E7"/>
              <w:bottom w:val="single" w:sz="4" w:space="0" w:color="00A5E7"/>
              <w:right w:val="single" w:sz="4" w:space="0" w:color="00A5E7"/>
            </w:tcBorders>
            <w:hideMark/>
          </w:tcPr>
          <w:p w:rsidR="00681DDD">
            <w:pPr>
              <w:overflowPunct/>
              <w:autoSpaceDE/>
              <w:autoSpaceDN/>
              <w:spacing w:line="276" w:lineRule="auto"/>
              <w:jc w:val="left"/>
              <w:textAlignment w:val="auto"/>
              <w:rPr>
                <w:rFonts w:ascii="Arial" w:eastAsia="楷体" w:hAnsi="Arial" w:cs="Arial"/>
                <w:sz w:val="20"/>
                <w:lang w:eastAsia="zh-CN"/>
              </w:rPr>
            </w:pPr>
            <w:r>
              <w:rPr>
                <w:rFonts w:ascii="Arial" w:eastAsia="楷体" w:hAnsi="Arial" w:cs="Arial"/>
                <w:sz w:val="20"/>
                <w:lang w:eastAsia="zh-CN"/>
              </w:rPr>
              <w:t>依订单</w:t>
            </w:r>
          </w:p>
        </w:tc>
      </w:tr>
      <w:tr>
        <w:tblPrEx>
          <w:tblW w:w="0" w:type="auto"/>
          <w:tblInd w:w="1029" w:type="dxa"/>
          <w:tblLayout w:type="fixed"/>
          <w:tblLook w:val="04A0"/>
        </w:tblPrEx>
        <w:trPr>
          <w:trHeight w:val="1766"/>
        </w:trPr>
        <w:tc>
          <w:tcPr>
            <w:tcW w:w="1865" w:type="dxa"/>
            <w:tcBorders>
              <w:top w:val="single" w:sz="4" w:space="0" w:color="00A5E7"/>
              <w:left w:val="single" w:sz="4" w:space="0" w:color="00A5E7"/>
              <w:bottom w:val="single" w:sz="4" w:space="0" w:color="00A5E7"/>
              <w:right w:val="single" w:sz="4" w:space="0" w:color="00A5E7"/>
            </w:tcBorders>
            <w:hideMark/>
          </w:tcPr>
          <w:p w:rsidR="00681DDD">
            <w:pPr>
              <w:overflowPunct/>
              <w:autoSpaceDE/>
              <w:autoSpaceDN/>
              <w:spacing w:line="276" w:lineRule="auto"/>
              <w:jc w:val="left"/>
              <w:textAlignment w:val="auto"/>
              <w:rPr>
                <w:rFonts w:ascii="Arial" w:eastAsia="楷体" w:hAnsi="Arial" w:cs="Arial"/>
                <w:sz w:val="20"/>
                <w:lang w:eastAsia="zh-CN"/>
              </w:rPr>
            </w:pPr>
            <w:r>
              <w:rPr>
                <w:rFonts w:ascii="Arial" w:eastAsia="楷体" w:hAnsi="Arial" w:cs="Arial"/>
                <w:sz w:val="20"/>
                <w:lang w:eastAsia="zh-CN"/>
              </w:rPr>
              <w:t>个人数据类型</w:t>
            </w:r>
          </w:p>
        </w:tc>
        <w:tc>
          <w:tcPr>
            <w:tcW w:w="7359" w:type="dxa"/>
            <w:tcBorders>
              <w:top w:val="single" w:sz="4" w:space="0" w:color="00A5E7"/>
              <w:left w:val="single" w:sz="4" w:space="0" w:color="00A5E7"/>
              <w:bottom w:val="single" w:sz="4" w:space="0" w:color="00A5E7"/>
              <w:right w:val="single" w:sz="4" w:space="0" w:color="00A5E7"/>
            </w:tcBorders>
            <w:hideMark/>
          </w:tcPr>
          <w:p w:rsidR="00681DDD">
            <w:pPr>
              <w:spacing w:line="276" w:lineRule="auto"/>
              <w:textAlignment w:val="auto"/>
              <w:rPr>
                <w:rFonts w:ascii="Arial" w:eastAsia="楷体" w:hAnsi="Arial" w:cs="Arial"/>
                <w:color w:val="000000"/>
                <w:sz w:val="20"/>
                <w:lang w:val="en-US" w:eastAsia="zh-CN"/>
              </w:rPr>
            </w:pPr>
            <w:r>
              <w:rPr>
                <w:rFonts w:ascii="Arial" w:eastAsia="楷体" w:hAnsi="Arial" w:cs="Arial"/>
                <w:color w:val="000000"/>
                <w:sz w:val="20"/>
                <w:lang w:val="en-US" w:eastAsia="zh-CN"/>
              </w:rPr>
              <w:t>雇员数据：姓名、职务、性别、岗位、出生日期、详细私人联系方式（地址、电话号码、电子邮件地址）、详细工作联系方式（电话号码、电子邮件地址）、雇员编号，及会议、电话或考勤记录内包含的个人数据。</w:t>
            </w:r>
          </w:p>
          <w:p w:rsidR="00681DDD">
            <w:pPr>
              <w:spacing w:line="276" w:lineRule="auto"/>
              <w:textAlignment w:val="auto"/>
              <w:rPr>
                <w:rFonts w:ascii="Arial" w:eastAsia="楷体" w:hAnsi="Arial" w:cs="Arial"/>
                <w:color w:val="000000"/>
                <w:sz w:val="20"/>
                <w:lang w:val="en-US" w:eastAsia="zh-CN"/>
              </w:rPr>
            </w:pPr>
            <w:r>
              <w:rPr>
                <w:rFonts w:ascii="Arial" w:eastAsia="楷体" w:hAnsi="Arial" w:cs="Arial"/>
                <w:color w:val="000000"/>
                <w:sz w:val="20"/>
                <w:lang w:val="en-US" w:eastAsia="zh-CN"/>
              </w:rPr>
              <w:t>客户及业务伙伴数据：姓名、职务、性别、工作地址、工作电子邮件地址、工作电话号码、岗位。</w:t>
            </w:r>
          </w:p>
        </w:tc>
      </w:tr>
      <w:tr>
        <w:tblPrEx>
          <w:tblW w:w="0" w:type="auto"/>
          <w:tblInd w:w="1029" w:type="dxa"/>
          <w:tblLayout w:type="fixed"/>
          <w:tblLook w:val="04A0"/>
        </w:tblPrEx>
        <w:trPr>
          <w:trHeight w:val="662"/>
        </w:trPr>
        <w:tc>
          <w:tcPr>
            <w:tcW w:w="1865" w:type="dxa"/>
            <w:tcBorders>
              <w:top w:val="single" w:sz="4" w:space="0" w:color="00A5E7"/>
              <w:left w:val="single" w:sz="4" w:space="0" w:color="00A5E7"/>
              <w:bottom w:val="single" w:sz="4" w:space="0" w:color="00A5E7"/>
              <w:right w:val="single" w:sz="4" w:space="0" w:color="00A5E7"/>
            </w:tcBorders>
            <w:hideMark/>
          </w:tcPr>
          <w:p w:rsidR="00681DDD">
            <w:pPr>
              <w:overflowPunct/>
              <w:autoSpaceDE/>
              <w:autoSpaceDN/>
              <w:spacing w:line="276" w:lineRule="auto"/>
              <w:jc w:val="left"/>
              <w:textAlignment w:val="auto"/>
              <w:rPr>
                <w:rFonts w:ascii="Arial" w:eastAsia="楷体" w:hAnsi="Arial" w:cs="Arial"/>
                <w:sz w:val="20"/>
                <w:lang w:eastAsia="zh-CN"/>
              </w:rPr>
            </w:pPr>
            <w:r>
              <w:rPr>
                <w:rFonts w:ascii="Arial" w:eastAsia="楷体" w:hAnsi="Arial" w:cs="Arial"/>
                <w:sz w:val="20"/>
                <w:lang w:eastAsia="zh-CN"/>
              </w:rPr>
              <w:t>数据主</w:t>
            </w:r>
            <w:r>
              <w:rPr>
                <w:rFonts w:ascii="Arial" w:eastAsia="楷体" w:hAnsi="Arial" w:cs="Arial" w:hint="eastAsia"/>
                <w:sz w:val="20"/>
                <w:lang w:eastAsia="zh-CN"/>
              </w:rPr>
              <w:t>体</w:t>
            </w:r>
            <w:r>
              <w:rPr>
                <w:rFonts w:ascii="Arial" w:eastAsia="楷体" w:hAnsi="Arial" w:cs="Arial"/>
                <w:sz w:val="20"/>
                <w:lang w:eastAsia="zh-CN"/>
              </w:rPr>
              <w:t>类别</w:t>
            </w:r>
          </w:p>
        </w:tc>
        <w:tc>
          <w:tcPr>
            <w:tcW w:w="7359" w:type="dxa"/>
            <w:tcBorders>
              <w:top w:val="single" w:sz="4" w:space="0" w:color="00A5E7"/>
              <w:left w:val="single" w:sz="4" w:space="0" w:color="00A5E7"/>
              <w:bottom w:val="single" w:sz="4" w:space="0" w:color="00A5E7"/>
              <w:right w:val="single" w:sz="4" w:space="0" w:color="00A5E7"/>
            </w:tcBorders>
            <w:hideMark/>
          </w:tcPr>
          <w:p w:rsidR="00681DDD">
            <w:pPr>
              <w:spacing w:line="276" w:lineRule="auto"/>
              <w:textAlignment w:val="auto"/>
              <w:rPr>
                <w:rFonts w:ascii="Arial" w:eastAsia="楷体" w:hAnsi="Arial" w:cs="Arial"/>
                <w:color w:val="000000"/>
                <w:sz w:val="20"/>
                <w:lang w:eastAsia="zh-CN"/>
              </w:rPr>
            </w:pPr>
            <w:r>
              <w:rPr>
                <w:rFonts w:ascii="Arial" w:eastAsia="楷体" w:hAnsi="Arial" w:cs="Arial"/>
                <w:color w:val="000000"/>
                <w:sz w:val="20"/>
                <w:lang w:val="en-US" w:eastAsia="zh-CN"/>
              </w:rPr>
              <w:t>买方集团雇员、原雇员和工人。买方集团的客户、业务伙伴和供应商。</w:t>
            </w:r>
          </w:p>
        </w:tc>
      </w:tr>
    </w:tbl>
    <w:p w:rsidR="00681DDD">
      <w:pPr>
        <w:pStyle w:val="Heading2"/>
        <w:numPr>
          <w:ilvl w:val="0"/>
          <w:numId w:val="0"/>
        </w:numPr>
        <w:spacing w:line="276" w:lineRule="auto"/>
        <w:ind w:left="1440" w:hanging="720"/>
        <w:jc w:val="center"/>
        <w:rPr>
          <w:rFonts w:eastAsia="楷体"/>
          <w:i/>
          <w:color w:val="000000"/>
          <w:sz w:val="20"/>
        </w:rPr>
      </w:pPr>
    </w:p>
    <w:sectPr>
      <w:headerReference w:type="default" r:id="rId5"/>
      <w:footerReference w:type="even" r:id="rId6"/>
      <w:footerReference w:type="default" r:id="rId7"/>
      <w:headerReference w:type="first" r:id="rId8"/>
      <w:footerReference w:type="first" r:id="rId9"/>
      <w:type w:val="continuous"/>
      <w:pgSz w:w="11909" w:h="16834" w:code="9"/>
      <w:pgMar w:top="1138" w:right="562" w:bottom="1138" w:left="562" w:header="706" w:footer="706"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TZhongsong">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楷体">
    <w:altName w:val="Microsoft YaHei"/>
    <w:charset w:val="86"/>
    <w:family w:val="modern"/>
    <w:pitch w:val="fixed"/>
    <w:sig w:usb0="00000000" w:usb1="38CF7CFA"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00"/>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81D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rsidR="00681DD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81DDD">
    <w:pPr>
      <w:keepNext/>
      <w:tabs>
        <w:tab w:val="num" w:pos="0"/>
      </w:tabs>
      <w:overflowPunct/>
      <w:autoSpaceDE/>
      <w:autoSpaceDN/>
      <w:spacing w:before="240" w:line="240" w:lineRule="auto"/>
      <w:jc w:val="left"/>
      <w:textAlignment w:val="auto"/>
      <w:outlineLvl w:val="0"/>
      <w:rPr>
        <w:rFonts w:ascii="Arial" w:eastAsia="STZhongsong" w:hAnsi="Arial" w:cs="Arial"/>
        <w:b/>
        <w:bCs/>
        <w:caps/>
        <w:color w:val="00A5E7"/>
        <w:sz w:val="18"/>
        <w:szCs w:val="18"/>
        <w:lang w:eastAsia="zh-CN"/>
      </w:rPr>
    </w:pPr>
    <w:r>
      <w:rPr>
        <w:rFonts w:ascii="Arial" w:eastAsia="STZhongsong" w:hAnsi="Arial" w:cs="Arial"/>
        <w:b/>
        <w:bCs/>
        <w:caps/>
        <w:color w:val="00A5E7"/>
        <w:sz w:val="18"/>
        <w:szCs w:val="18"/>
        <w:lang w:eastAsia="zh-CN"/>
      </w:rPr>
      <w:tab/>
      <w:t>VERSION AUGUST 2019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81DDD">
    <w:pPr>
      <w:pStyle w:val="Footer"/>
      <w:rPr>
        <w:color w:val="00A5E7"/>
      </w:rPr>
    </w:pPr>
    <w:r>
      <w:rPr>
        <w:rFonts w:ascii="Arial" w:eastAsia="STZhongsong" w:hAnsi="Arial" w:cs="Arial"/>
        <w:b/>
        <w:bCs/>
        <w:caps/>
        <w:color w:val="00A5E7"/>
        <w:sz w:val="18"/>
        <w:szCs w:val="18"/>
        <w:lang w:eastAsia="zh-CN"/>
      </w:rPr>
      <w:t>VERSION AUGUST 2019</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81DDD">
    <w:pPr>
      <w:pStyle w:val="Header"/>
      <w:spacing w:after="0" w:line="240" w:lineRule="auto"/>
      <w:jc w:val="right"/>
    </w:pPr>
  </w:p>
  <w:p w:rsidR="00681DDD">
    <w:pPr>
      <w:pStyle w:val="Header"/>
      <w:spacing w:after="0" w:line="240" w:lineRule="auto"/>
      <w:jc w:val="right"/>
    </w:pPr>
    <w:bookmarkStart w:id="50" w:name="bmStrictlyPrivateLine"/>
    <w:bookmarkEnd w:id="5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81DDD">
    <w:pPr>
      <w:pStyle w:val="Header"/>
      <w:rPr>
        <w:color w:val="00A5E7"/>
      </w:rPr>
    </w:pPr>
    <w:r>
      <w:rPr>
        <w:noProof/>
        <w:lang w:val="en-US" w:eastAsia="zh-CN" w:bidi="th-TH"/>
      </w:rPr>
      <w:drawing>
        <wp:anchor distT="0" distB="0" distL="114300" distR="114300" simplePos="0" relativeHeight="251658240" behindDoc="0" locked="0" layoutInCell="1" allowOverlap="1">
          <wp:simplePos x="0" y="0"/>
          <wp:positionH relativeFrom="column">
            <wp:posOffset>2540</wp:posOffset>
          </wp:positionH>
          <wp:positionV relativeFrom="paragraph">
            <wp:posOffset>-314325</wp:posOffset>
          </wp:positionV>
          <wp:extent cx="550545" cy="744855"/>
          <wp:effectExtent l="0" t="0" r="0" b="0"/>
          <wp:wrapNone/>
          <wp:docPr id="1" name="Picture 2" descr="vita-logo-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ta-logo-new"/>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 cy="7448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85B6155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C2EB6A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3E6EAE4"/>
    <w:lvl w:ilvl="0">
      <w:start w:val="1"/>
      <w:numFmt w:val="decimal"/>
      <w:pStyle w:val="ListNumber3"/>
      <w:lvlText w:val="%1."/>
      <w:lvlJc w:val="left"/>
      <w:pPr>
        <w:tabs>
          <w:tab w:val="num" w:pos="926"/>
        </w:tabs>
        <w:ind w:left="926" w:hanging="360"/>
      </w:pPr>
    </w:lvl>
  </w:abstractNum>
  <w:abstractNum w:abstractNumId="3">
    <w:nsid w:val="FFFFFF7F"/>
    <w:multiLevelType w:val="singleLevel"/>
    <w:tmpl w:val="1F426FF4"/>
    <w:lvl w:ilvl="0">
      <w:start w:val="1"/>
      <w:numFmt w:val="decimal"/>
      <w:pStyle w:val="ListNumber2"/>
      <w:lvlText w:val="%1."/>
      <w:lvlJc w:val="left"/>
      <w:pPr>
        <w:tabs>
          <w:tab w:val="num" w:pos="643"/>
        </w:tabs>
        <w:ind w:left="643" w:hanging="360"/>
      </w:pPr>
    </w:lvl>
  </w:abstractNum>
  <w:abstractNum w:abstractNumId="4">
    <w:nsid w:val="FFFFFF88"/>
    <w:multiLevelType w:val="singleLevel"/>
    <w:tmpl w:val="0890DADE"/>
    <w:lvl w:ilvl="0">
      <w:start w:val="1"/>
      <w:numFmt w:val="decimal"/>
      <w:pStyle w:val="ListNumber"/>
      <w:lvlText w:val="%1."/>
      <w:lvlJc w:val="left"/>
      <w:pPr>
        <w:tabs>
          <w:tab w:val="num" w:pos="360"/>
        </w:tabs>
        <w:ind w:left="360" w:hanging="360"/>
      </w:pPr>
    </w:lvl>
  </w:abstractNum>
  <w:abstractNum w:abstractNumId="5">
    <w:nsid w:val="0057389D"/>
    <w:multiLevelType w:val="multilevel"/>
    <w:tmpl w:val="A8D0AD70"/>
    <w:name w:val="Plato Schedule Numbering List"/>
    <w:lvl w:ilvl="0">
      <w:start w:val="1"/>
      <w:numFmt w:val="decimal"/>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3"/>
      <w:lvlText w:val="%1.%2.%3"/>
      <w:lvlJc w:val="left"/>
      <w:pPr>
        <w:tabs>
          <w:tab w:val="num" w:pos="1800"/>
        </w:tabs>
        <w:ind w:left="1800" w:hanging="1080"/>
      </w:pPr>
      <w:rPr>
        <w:caps w:val="0"/>
        <w:effect w:val="none"/>
      </w:rPr>
    </w:lvl>
    <w:lvl w:ilvl="3">
      <w:start w:val="1"/>
      <w:numFmt w:val="decimal"/>
      <w:pStyle w:val="ScheduleL4"/>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pStyle w:val="ScheduleL6"/>
      <w:lvlText w:val="(%6)"/>
      <w:lvlJc w:val="left"/>
      <w:pPr>
        <w:tabs>
          <w:tab w:val="num" w:pos="4320"/>
        </w:tabs>
        <w:ind w:left="4320" w:hanging="720"/>
      </w:pPr>
      <w:rPr>
        <w:caps w:val="0"/>
        <w:effect w:val="none"/>
      </w:rPr>
    </w:lvl>
    <w:lvl w:ilvl="6">
      <w:start w:val="1"/>
      <w:numFmt w:val="decimal"/>
      <w:pStyle w:val="ScheduleL7"/>
      <w:lvlText w:val="(%7)"/>
      <w:lvlJc w:val="left"/>
      <w:pPr>
        <w:tabs>
          <w:tab w:val="num" w:pos="5040"/>
        </w:tabs>
        <w:ind w:left="5040" w:hanging="720"/>
      </w:pPr>
      <w:rPr>
        <w:caps w:val="0"/>
        <w:effect w:val="none"/>
      </w:rPr>
    </w:lvl>
    <w:lvl w:ilvl="7">
      <w:start w:val="1"/>
      <w:numFmt w:val="none"/>
      <w:pStyle w:val="ScheduleL8"/>
      <w:lvlJc w:val="left"/>
      <w:pPr>
        <w:tabs>
          <w:tab w:val="num" w:pos="5040"/>
        </w:tabs>
        <w:ind w:left="5040" w:hanging="720"/>
      </w:pPr>
      <w:rPr>
        <w:caps w:val="0"/>
        <w:effect w:val="none"/>
      </w:rPr>
    </w:lvl>
    <w:lvl w:ilvl="8">
      <w:start w:val="1"/>
      <w:numFmt w:val="none"/>
      <w:pStyle w:val="ScheduleL9"/>
      <w:lvlJc w:val="left"/>
      <w:pPr>
        <w:tabs>
          <w:tab w:val="num" w:pos="5040"/>
        </w:tabs>
        <w:ind w:left="5040" w:hanging="720"/>
      </w:pPr>
      <w:rPr>
        <w:caps w:val="0"/>
        <w:effect w:val="none"/>
      </w:rPr>
    </w:lvl>
  </w:abstractNum>
  <w:abstractNum w:abstractNumId="6">
    <w:nsid w:val="04723DB5"/>
    <w:multiLevelType w:val="multilevel"/>
    <w:tmpl w:val="011CE31C"/>
    <w:lvl w:ilvl="0">
      <w:start w:val="1"/>
      <w:numFmt w:val="lowerLetter"/>
      <w:lvlText w:val="(%1)"/>
      <w:lvlJc w:val="left"/>
      <w:pPr>
        <w:tabs>
          <w:tab w:val="num" w:pos="1800"/>
        </w:tabs>
        <w:ind w:left="1800" w:hanging="1080"/>
      </w:pPr>
      <w:rPr>
        <w:caps w:val="0"/>
        <w:effect w:val="none"/>
      </w:rPr>
    </w:lvl>
    <w:lvl w:ilvl="1">
      <w:start w:val="1"/>
      <w:numFmt w:val="lowerRoman"/>
      <w:lvlText w:val="(%2)"/>
      <w:lvlJc w:val="left"/>
      <w:pPr>
        <w:tabs>
          <w:tab w:val="num" w:pos="2880"/>
        </w:tabs>
        <w:ind w:left="2880" w:hanging="1080"/>
      </w:pPr>
      <w:rPr>
        <w:caps w:val="0"/>
        <w:effect w:val="none"/>
      </w:rPr>
    </w:lvl>
    <w:lvl w:ilvl="2">
      <w:start w:val="1"/>
      <w:numFmt w:val="none"/>
      <w:lvlJc w:val="left"/>
      <w:pPr>
        <w:tabs>
          <w:tab w:val="num" w:pos="2880"/>
        </w:tabs>
        <w:ind w:left="2880" w:hanging="1080"/>
      </w:pPr>
      <w:rPr>
        <w:caps w:val="0"/>
        <w:effect w:val="none"/>
      </w:rPr>
    </w:lvl>
    <w:lvl w:ilvl="3">
      <w:start w:val="1"/>
      <w:numFmt w:val="none"/>
      <w:lvlJc w:val="left"/>
      <w:pPr>
        <w:tabs>
          <w:tab w:val="num" w:pos="2880"/>
        </w:tabs>
        <w:ind w:left="2880" w:hanging="1080"/>
      </w:pPr>
      <w:rPr>
        <w:caps w:val="0"/>
        <w:effect w:val="none"/>
      </w:rPr>
    </w:lvl>
    <w:lvl w:ilvl="4">
      <w:start w:val="1"/>
      <w:numFmt w:val="none"/>
      <w:lvlJc w:val="left"/>
      <w:pPr>
        <w:tabs>
          <w:tab w:val="num" w:pos="2880"/>
        </w:tabs>
        <w:ind w:left="2880" w:hanging="1080"/>
      </w:pPr>
      <w:rPr>
        <w:caps w:val="0"/>
        <w:effect w:val="none"/>
      </w:rPr>
    </w:lvl>
    <w:lvl w:ilvl="5">
      <w:start w:val="1"/>
      <w:numFmt w:val="none"/>
      <w:lvlJc w:val="left"/>
      <w:pPr>
        <w:tabs>
          <w:tab w:val="num" w:pos="2880"/>
        </w:tabs>
        <w:ind w:left="2880" w:hanging="1080"/>
      </w:pPr>
      <w:rPr>
        <w:caps w:val="0"/>
        <w:effect w:val="none"/>
      </w:rPr>
    </w:lvl>
    <w:lvl w:ilvl="6">
      <w:start w:val="1"/>
      <w:numFmt w:val="none"/>
      <w:lvlJc w:val="left"/>
      <w:pPr>
        <w:tabs>
          <w:tab w:val="num" w:pos="2880"/>
        </w:tabs>
        <w:ind w:left="2880" w:hanging="1080"/>
      </w:pPr>
      <w:rPr>
        <w:caps w:val="0"/>
        <w:effect w:val="none"/>
      </w:rPr>
    </w:lvl>
    <w:lvl w:ilvl="7">
      <w:start w:val="1"/>
      <w:numFmt w:val="none"/>
      <w:pStyle w:val="DefinitionNumbering8"/>
      <w:lvlJc w:val="left"/>
      <w:pPr>
        <w:tabs>
          <w:tab w:val="num" w:pos="2880"/>
        </w:tabs>
        <w:ind w:left="2880" w:hanging="1080"/>
      </w:pPr>
      <w:rPr>
        <w:caps w:val="0"/>
        <w:effect w:val="none"/>
      </w:rPr>
    </w:lvl>
    <w:lvl w:ilvl="8">
      <w:start w:val="1"/>
      <w:numFmt w:val="none"/>
      <w:pStyle w:val="DefinitionNumbering9"/>
      <w:lvlJc w:val="left"/>
      <w:pPr>
        <w:tabs>
          <w:tab w:val="num" w:pos="2880"/>
        </w:tabs>
        <w:ind w:left="2880" w:hanging="1080"/>
      </w:pPr>
      <w:rPr>
        <w:caps w:val="0"/>
        <w:effect w:val="none"/>
      </w:rPr>
    </w:lvl>
  </w:abstractNum>
  <w:abstractNum w:abstractNumId="7">
    <w:nsid w:val="1AA27F3D"/>
    <w:multiLevelType w:val="multilevel"/>
    <w:tmpl w:val="150E3BC0"/>
    <w:name w:val="Definition Numbering List"/>
    <w:lvl w:ilvl="0">
      <w:start w:val="1"/>
      <w:numFmt w:val="none"/>
      <w:pStyle w:val="BodyTextIndent"/>
      <w:suff w:val="nothing"/>
      <w:lvlJc w:val="left"/>
      <w:pPr>
        <w:tabs>
          <w:tab w:val="num" w:pos="720"/>
        </w:tabs>
        <w:ind w:left="720" w:firstLine="0"/>
      </w:pPr>
      <w:rPr>
        <w:caps w:val="0"/>
        <w:effect w:val="none"/>
      </w:rPr>
    </w:lvl>
    <w:lvl w:ilvl="1">
      <w:start w:val="1"/>
      <w:numFmt w:val="none"/>
      <w:lvlRestart w:val="0"/>
      <w:pStyle w:val="BodyTextIndent2"/>
      <w:suff w:val="nothing"/>
      <w:lvlJc w:val="left"/>
      <w:pPr>
        <w:tabs>
          <w:tab w:val="num" w:pos="720"/>
        </w:tabs>
        <w:ind w:left="720" w:firstLine="0"/>
      </w:pPr>
      <w:rPr>
        <w:caps w:val="0"/>
        <w:effect w:val="none"/>
      </w:rPr>
    </w:lvl>
    <w:lvl w:ilvl="2">
      <w:start w:val="1"/>
      <w:numFmt w:val="lowerLetter"/>
      <w:pStyle w:val="DefinitionNumbering1"/>
      <w:lvlText w:val="(%3)"/>
      <w:lvlJc w:val="left"/>
      <w:pPr>
        <w:tabs>
          <w:tab w:val="num" w:pos="1800"/>
        </w:tabs>
        <w:ind w:left="1800" w:hanging="1080"/>
      </w:pPr>
      <w:rPr>
        <w:caps w:val="0"/>
        <w:effect w:val="none"/>
      </w:rPr>
    </w:lvl>
    <w:lvl w:ilvl="3">
      <w:start w:val="1"/>
      <w:numFmt w:val="lowerRoman"/>
      <w:pStyle w:val="DefinitionNumbering2"/>
      <w:lvlText w:val="(%4)"/>
      <w:lvlJc w:val="left"/>
      <w:pPr>
        <w:tabs>
          <w:tab w:val="num" w:pos="2880"/>
        </w:tabs>
        <w:ind w:left="2880" w:hanging="1080"/>
      </w:pPr>
      <w:rPr>
        <w:caps w:val="0"/>
        <w:effect w:val="none"/>
      </w:rPr>
    </w:lvl>
    <w:lvl w:ilvl="4">
      <w:start w:val="1"/>
      <w:numFmt w:val="upperLetter"/>
      <w:pStyle w:val="DefinitionNumbering3"/>
      <w:lvlText w:val="(%5)"/>
      <w:lvlJc w:val="left"/>
      <w:pPr>
        <w:tabs>
          <w:tab w:val="num" w:pos="3600"/>
        </w:tabs>
        <w:ind w:left="3600" w:hanging="720"/>
      </w:pPr>
      <w:rPr>
        <w:caps w:val="0"/>
        <w:effect w:val="none"/>
      </w:rPr>
    </w:lvl>
    <w:lvl w:ilvl="5">
      <w:start w:val="1"/>
      <w:numFmt w:val="none"/>
      <w:pStyle w:val="DefinitionNumbering4"/>
      <w:lvlJc w:val="left"/>
      <w:pPr>
        <w:tabs>
          <w:tab w:val="num" w:pos="2880"/>
        </w:tabs>
        <w:ind w:left="2880" w:hanging="1080"/>
      </w:pPr>
      <w:rPr>
        <w:caps w:val="0"/>
        <w:effect w:val="none"/>
      </w:rPr>
    </w:lvl>
    <w:lvl w:ilvl="6">
      <w:start w:val="1"/>
      <w:numFmt w:val="none"/>
      <w:pStyle w:val="DefinitionNumbering5"/>
      <w:lvlJc w:val="left"/>
      <w:pPr>
        <w:tabs>
          <w:tab w:val="num" w:pos="2880"/>
        </w:tabs>
        <w:ind w:left="2880" w:hanging="1080"/>
      </w:pPr>
      <w:rPr>
        <w:caps w:val="0"/>
        <w:effect w:val="none"/>
      </w:rPr>
    </w:lvl>
    <w:lvl w:ilvl="7">
      <w:start w:val="1"/>
      <w:numFmt w:val="none"/>
      <w:pStyle w:val="DefinitionNumbering6"/>
      <w:lvlJc w:val="left"/>
      <w:pPr>
        <w:tabs>
          <w:tab w:val="num" w:pos="2880"/>
        </w:tabs>
        <w:ind w:left="2880" w:hanging="1080"/>
      </w:pPr>
      <w:rPr>
        <w:caps w:val="0"/>
        <w:effect w:val="none"/>
      </w:rPr>
    </w:lvl>
    <w:lvl w:ilvl="8">
      <w:start w:val="1"/>
      <w:numFmt w:val="none"/>
      <w:pStyle w:val="DefinitionNumbering7"/>
      <w:lvlJc w:val="left"/>
      <w:pPr>
        <w:tabs>
          <w:tab w:val="num" w:pos="2880"/>
        </w:tabs>
        <w:ind w:left="2880" w:hanging="1080"/>
      </w:pPr>
      <w:rPr>
        <w:caps w:val="0"/>
        <w:effect w:val="none"/>
      </w:rPr>
    </w:lvl>
  </w:abstractNum>
  <w:abstractNum w:abstractNumId="8">
    <w:nsid w:val="230C2EC6"/>
    <w:multiLevelType w:val="multilevel"/>
    <w:tmpl w:val="766C966C"/>
    <w:styleLink w:val="111111"/>
    <w:lvl w:ilvl="0">
      <w:start w:val="1"/>
      <w:numFmt w:val="decimal"/>
      <w:lvlText w:val="%1."/>
      <w:lvlJc w:val="left"/>
      <w:pPr>
        <w:tabs>
          <w:tab w:val="num" w:pos="720"/>
        </w:tabs>
        <w:ind w:left="720" w:hanging="720"/>
      </w:pPr>
      <w:rPr>
        <w:rFonts w:hint="default"/>
        <w:dstrike w:val="0"/>
        <w:snapToGrid/>
        <w:color w:val="auto"/>
        <w:w w:val="100"/>
        <w:kern w:val="28"/>
        <w:sz w:val="22"/>
        <w:szCs w:val="20"/>
        <w:u w:val="none"/>
        <w:effect w:val="none"/>
        <w:vertAlign w:val="baseli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9">
    <w:nsid w:val="303051C3"/>
    <w:multiLevelType w:val="multilevel"/>
    <w:tmpl w:val="20C6AA4A"/>
    <w:name w:val="Appendicies Heading List"/>
    <w:lvl w:ilvl="0">
      <w:start w:val="1"/>
      <w:numFmt w:val="decimal"/>
      <w:pStyle w:val="AppHead"/>
      <w:suff w:val="space"/>
      <w:lvlText w:val="APPENDIX %1: "/>
      <w:lvlJc w:val="left"/>
      <w:pPr>
        <w:tabs>
          <w:tab w:val="num" w:pos="0"/>
        </w:tabs>
        <w:ind w:left="0" w:firstLine="0"/>
      </w:pPr>
      <w:rPr>
        <w:caps w:val="0"/>
        <w:effect w:val="none"/>
      </w:rPr>
    </w:lvl>
    <w:lvl w:ilvl="1">
      <w:start w:val="1"/>
      <w:numFmt w:val="decimal"/>
      <w:pStyle w:val="AppPart"/>
      <w:suff w:val="space"/>
      <w:lvlText w:val="Part %2: "/>
      <w:lvlJc w:val="left"/>
      <w:pPr>
        <w:tabs>
          <w:tab w:val="num" w:pos="0"/>
        </w:tabs>
        <w:ind w:left="0" w:firstLine="0"/>
      </w:pPr>
      <w:rPr>
        <w:caps w:val="0"/>
        <w:effect w:val="none"/>
      </w:rPr>
    </w:lvl>
    <w:lvl w:ilvl="2">
      <w:start w:val="1"/>
      <w:numFmt w:val="none"/>
      <w:lvlRestart w:val="0"/>
      <w:lvlJc w:val="left"/>
      <w:pPr>
        <w:tabs>
          <w:tab w:val="num" w:pos="0"/>
        </w:tabs>
        <w:ind w:left="0" w:firstLine="0"/>
      </w:pPr>
      <w:rPr>
        <w:caps w:val="0"/>
        <w:effect w:val="none"/>
      </w:rPr>
    </w:lvl>
    <w:lvl w:ilvl="3">
      <w:start w:val="1"/>
      <w:numFmt w:val="none"/>
      <w:lvlRestart w:val="0"/>
      <w:lvlJc w:val="left"/>
      <w:pPr>
        <w:tabs>
          <w:tab w:val="num" w:pos="0"/>
        </w:tabs>
        <w:ind w:left="0" w:firstLine="0"/>
      </w:pPr>
      <w:rPr>
        <w:caps w:val="0"/>
        <w:effect w:val="none"/>
      </w:rPr>
    </w:lvl>
    <w:lvl w:ilvl="4">
      <w:start w:val="1"/>
      <w:numFmt w:val="none"/>
      <w:lvlRestart w:val="0"/>
      <w:lvlJc w:val="left"/>
      <w:pPr>
        <w:tabs>
          <w:tab w:val="num" w:pos="0"/>
        </w:tabs>
        <w:ind w:left="0" w:firstLine="0"/>
      </w:pPr>
      <w:rPr>
        <w:caps w:val="0"/>
        <w:effect w:val="none"/>
      </w:rPr>
    </w:lvl>
    <w:lvl w:ilvl="5">
      <w:start w:val="1"/>
      <w:numFmt w:val="none"/>
      <w:lvlRestart w:val="0"/>
      <w:lvlJc w:val="left"/>
      <w:pPr>
        <w:tabs>
          <w:tab w:val="num" w:pos="0"/>
        </w:tabs>
        <w:ind w:left="0" w:firstLine="0"/>
      </w:pPr>
      <w:rPr>
        <w:caps w:val="0"/>
        <w:effect w:val="none"/>
      </w:rPr>
    </w:lvl>
    <w:lvl w:ilvl="6">
      <w:start w:val="1"/>
      <w:numFmt w:val="none"/>
      <w:lvlRestart w:val="0"/>
      <w:lvlJc w:val="left"/>
      <w:pPr>
        <w:tabs>
          <w:tab w:val="num" w:pos="0"/>
        </w:tabs>
        <w:ind w:left="0" w:firstLine="0"/>
      </w:pPr>
      <w:rPr>
        <w:caps w:val="0"/>
        <w:effect w:val="none"/>
      </w:rPr>
    </w:lvl>
    <w:lvl w:ilvl="7">
      <w:start w:val="1"/>
      <w:numFmt w:val="none"/>
      <w:lvlRestart w:val="0"/>
      <w:lvlJc w:val="left"/>
      <w:pPr>
        <w:tabs>
          <w:tab w:val="num" w:pos="0"/>
        </w:tabs>
        <w:ind w:left="0" w:firstLine="0"/>
      </w:pPr>
      <w:rPr>
        <w:caps w:val="0"/>
        <w:effect w:val="none"/>
      </w:rPr>
    </w:lvl>
    <w:lvl w:ilvl="8">
      <w:start w:val="1"/>
      <w:numFmt w:val="none"/>
      <w:lvlRestart w:val="0"/>
      <w:lvlJc w:val="left"/>
      <w:pPr>
        <w:tabs>
          <w:tab w:val="num" w:pos="0"/>
        </w:tabs>
        <w:ind w:left="0" w:firstLine="0"/>
      </w:pPr>
      <w:rPr>
        <w:caps w:val="0"/>
        <w:effect w:val="none"/>
      </w:rPr>
    </w:lvl>
  </w:abstractNum>
  <w:abstractNum w:abstractNumId="10">
    <w:nsid w:val="36D5406C"/>
    <w:multiLevelType w:val="hybridMultilevel"/>
    <w:tmpl w:val="96AA64FE"/>
    <w:lvl w:ilvl="0">
      <w:start w:val="1"/>
      <w:numFmt w:val="lowerLetter"/>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1">
    <w:nsid w:val="3E4E09B1"/>
    <w:multiLevelType w:val="multilevel"/>
    <w:tmpl w:val="BB2E627A"/>
    <w:name w:val="Recital Numbering List"/>
    <w:lvl w:ilvl="0">
      <w:start w:val="1"/>
      <w:numFmt w:val="upperLetter"/>
      <w:pStyle w:val="RecitalNumbering"/>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800"/>
        </w:tabs>
        <w:ind w:left="1800" w:hanging="1080"/>
      </w:pPr>
      <w:rPr>
        <w:caps w:val="0"/>
        <w:effect w:val="none"/>
      </w:rPr>
    </w:lvl>
    <w:lvl w:ilvl="2">
      <w:start w:val="1"/>
      <w:numFmt w:val="lowerLetter"/>
      <w:pStyle w:val="RecitalNumbering3"/>
      <w:lvlText w:val="(%3)"/>
      <w:lvlJc w:val="left"/>
      <w:pPr>
        <w:tabs>
          <w:tab w:val="num" w:pos="2880"/>
        </w:tabs>
        <w:ind w:left="2880" w:hanging="1080"/>
      </w:pPr>
      <w:rPr>
        <w:caps w:val="0"/>
        <w:effect w:val="none"/>
      </w:rPr>
    </w:lvl>
    <w:lvl w:ilvl="3">
      <w:start w:val="1"/>
      <w:numFmt w:val="none"/>
      <w:lvlRestart w:val="0"/>
      <w:lvlJc w:val="left"/>
      <w:pPr>
        <w:tabs>
          <w:tab w:val="num" w:pos="1800"/>
        </w:tabs>
        <w:ind w:left="1800" w:hanging="1080"/>
      </w:pPr>
      <w:rPr>
        <w:caps w:val="0"/>
        <w:effect w:val="none"/>
      </w:rPr>
    </w:lvl>
    <w:lvl w:ilvl="4">
      <w:start w:val="1"/>
      <w:numFmt w:val="none"/>
      <w:lvlRestart w:val="0"/>
      <w:lvlJc w:val="left"/>
      <w:pPr>
        <w:tabs>
          <w:tab w:val="num" w:pos="1800"/>
        </w:tabs>
        <w:ind w:left="1800" w:hanging="1080"/>
      </w:pPr>
      <w:rPr>
        <w:caps w:val="0"/>
        <w:effect w:val="none"/>
      </w:rPr>
    </w:lvl>
    <w:lvl w:ilvl="5">
      <w:start w:val="1"/>
      <w:numFmt w:val="none"/>
      <w:lvlRestart w:val="0"/>
      <w:lvlJc w:val="left"/>
      <w:pPr>
        <w:tabs>
          <w:tab w:val="num" w:pos="1800"/>
        </w:tabs>
        <w:ind w:left="1800" w:hanging="1080"/>
      </w:pPr>
      <w:rPr>
        <w:caps w:val="0"/>
        <w:effect w:val="none"/>
      </w:rPr>
    </w:lvl>
    <w:lvl w:ilvl="6">
      <w:start w:val="1"/>
      <w:numFmt w:val="none"/>
      <w:lvlRestart w:val="0"/>
      <w:lvlJc w:val="left"/>
      <w:pPr>
        <w:tabs>
          <w:tab w:val="num" w:pos="1800"/>
        </w:tabs>
        <w:ind w:left="1800" w:hanging="1080"/>
      </w:pPr>
      <w:rPr>
        <w:caps w:val="0"/>
        <w:effect w:val="none"/>
      </w:rPr>
    </w:lvl>
    <w:lvl w:ilvl="7">
      <w:start w:val="1"/>
      <w:numFmt w:val="none"/>
      <w:lvlRestart w:val="0"/>
      <w:lvlJc w:val="left"/>
      <w:pPr>
        <w:tabs>
          <w:tab w:val="num" w:pos="1800"/>
        </w:tabs>
        <w:ind w:left="1800" w:hanging="1080"/>
      </w:pPr>
      <w:rPr>
        <w:caps w:val="0"/>
        <w:effect w:val="none"/>
      </w:rPr>
    </w:lvl>
    <w:lvl w:ilvl="8">
      <w:start w:val="1"/>
      <w:numFmt w:val="none"/>
      <w:lvlRestart w:val="0"/>
      <w:lvlJc w:val="left"/>
      <w:pPr>
        <w:tabs>
          <w:tab w:val="num" w:pos="1800"/>
        </w:tabs>
        <w:ind w:left="1800" w:hanging="1080"/>
      </w:pPr>
      <w:rPr>
        <w:caps w:val="0"/>
        <w:effect w:val="none"/>
      </w:rPr>
    </w:lvl>
  </w:abstractNum>
  <w:abstractNum w:abstractNumId="12">
    <w:nsid w:val="422F34B5"/>
    <w:multiLevelType w:val="hybridMultilevel"/>
    <w:tmpl w:val="C624CFBA"/>
    <w:lvl w:ilvl="0">
      <w:start w:val="1"/>
      <w:numFmt w:val="lowerLetter"/>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3">
    <w:nsid w:val="49021F1E"/>
    <w:multiLevelType w:val="multilevel"/>
    <w:tmpl w:val="0F00EB6A"/>
    <w:name w:val="Plato Heading List"/>
    <w:lvl w:ilvl="0">
      <w:start w:val="1"/>
      <w:numFmt w:val="decimal"/>
      <w:pStyle w:val="Heading1"/>
      <w:lvlText w:val="%1."/>
      <w:lvlJc w:val="left"/>
      <w:pPr>
        <w:tabs>
          <w:tab w:val="num" w:pos="720"/>
        </w:tabs>
        <w:ind w:left="720" w:hanging="720"/>
      </w:pPr>
      <w:rPr>
        <w:caps w:val="0"/>
        <w:color w:val="00B0F0"/>
        <w:effect w:val="none"/>
      </w:rPr>
    </w:lvl>
    <w:lvl w:ilvl="1">
      <w:start w:val="1"/>
      <w:numFmt w:val="decimal"/>
      <w:pStyle w:val="Heading2"/>
      <w:lvlText w:val="%1.%2"/>
      <w:lvlJc w:val="left"/>
      <w:pPr>
        <w:tabs>
          <w:tab w:val="num" w:pos="720"/>
        </w:tabs>
        <w:ind w:left="720" w:hanging="720"/>
      </w:pPr>
      <w:rPr>
        <w:caps w:val="0"/>
        <w:sz w:val="18"/>
        <w:effect w:val="none"/>
      </w:rPr>
    </w:lvl>
    <w:lvl w:ilvl="2">
      <w:start w:val="1"/>
      <w:numFmt w:val="decimal"/>
      <w:pStyle w:val="Heading3"/>
      <w:lvlText w:val="%1.%2.%3"/>
      <w:lvlJc w:val="left"/>
      <w:pPr>
        <w:tabs>
          <w:tab w:val="num" w:pos="1800"/>
        </w:tabs>
        <w:ind w:left="1800" w:hanging="1080"/>
      </w:pPr>
      <w:rPr>
        <w:caps w:val="0"/>
        <w:sz w:val="20"/>
        <w:szCs w:val="20"/>
        <w:effect w:val="none"/>
      </w:rPr>
    </w:lvl>
    <w:lvl w:ilvl="3">
      <w:start w:val="1"/>
      <w:numFmt w:val="decimal"/>
      <w:pStyle w:val="Heading4"/>
      <w:lvlText w:val="%1.%2.%3.%4"/>
      <w:lvlJc w:val="left"/>
      <w:pPr>
        <w:tabs>
          <w:tab w:val="num" w:pos="2880"/>
        </w:tabs>
        <w:ind w:left="2880" w:hanging="1080"/>
      </w:pPr>
      <w:rPr>
        <w:caps w:val="0"/>
        <w:effect w:val="none"/>
      </w:rPr>
    </w:lvl>
    <w:lvl w:ilvl="4">
      <w:start w:val="1"/>
      <w:numFmt w:val="lowerLetter"/>
      <w:pStyle w:val="Heading5"/>
      <w:lvlText w:val="(%5)"/>
      <w:lvlJc w:val="left"/>
      <w:pPr>
        <w:tabs>
          <w:tab w:val="num" w:pos="3600"/>
        </w:tabs>
        <w:ind w:left="3600" w:hanging="720"/>
      </w:pPr>
      <w:rPr>
        <w:caps w:val="0"/>
        <w:effect w:val="none"/>
      </w:rPr>
    </w:lvl>
    <w:lvl w:ilvl="5">
      <w:start w:val="1"/>
      <w:numFmt w:val="lowerRoman"/>
      <w:pStyle w:val="Heading6"/>
      <w:lvlText w:val="(%6)"/>
      <w:lvlJc w:val="left"/>
      <w:pPr>
        <w:tabs>
          <w:tab w:val="num" w:pos="4320"/>
        </w:tabs>
        <w:ind w:left="4320" w:hanging="720"/>
      </w:pPr>
      <w:rPr>
        <w:caps w:val="0"/>
        <w:effect w:val="none"/>
      </w:rPr>
    </w:lvl>
    <w:lvl w:ilvl="6">
      <w:start w:val="1"/>
      <w:numFmt w:val="decimal"/>
      <w:pStyle w:val="Heading7"/>
      <w:lvlText w:val="(%7)"/>
      <w:lvlJc w:val="left"/>
      <w:pPr>
        <w:tabs>
          <w:tab w:val="num" w:pos="5040"/>
        </w:tabs>
        <w:ind w:left="5040" w:hanging="720"/>
      </w:pPr>
      <w:rPr>
        <w:caps w:val="0"/>
        <w:effect w:val="none"/>
      </w:rPr>
    </w:lvl>
    <w:lvl w:ilvl="7">
      <w:start w:val="1"/>
      <w:numFmt w:val="none"/>
      <w:pStyle w:val="Heading8"/>
      <w:lvlJc w:val="left"/>
      <w:pPr>
        <w:tabs>
          <w:tab w:val="num" w:pos="5040"/>
        </w:tabs>
        <w:ind w:left="5040" w:hanging="720"/>
      </w:pPr>
      <w:rPr>
        <w:caps w:val="0"/>
        <w:effect w:val="none"/>
      </w:rPr>
    </w:lvl>
    <w:lvl w:ilvl="8">
      <w:start w:val="1"/>
      <w:numFmt w:val="none"/>
      <w:pStyle w:val="Heading9"/>
      <w:lvlJc w:val="left"/>
      <w:pPr>
        <w:tabs>
          <w:tab w:val="num" w:pos="5040"/>
        </w:tabs>
        <w:ind w:left="5040" w:hanging="720"/>
      </w:pPr>
      <w:rPr>
        <w:caps w:val="0"/>
        <w:effect w:val="none"/>
      </w:rPr>
    </w:lvl>
  </w:abstractNum>
  <w:abstractNum w:abstractNumId="14">
    <w:nsid w:val="5B7431F0"/>
    <w:multiLevelType w:val="multilevel"/>
    <w:tmpl w:val="8688B3EC"/>
    <w:name w:val="SchHead Numbering List"/>
    <w:lvl w:ilvl="0">
      <w:start w:val="1"/>
      <w:numFmt w:val="decimal"/>
      <w:pStyle w:val="SchHead"/>
      <w:suff w:val="space"/>
      <w:lvlText w:val="SCHEDULE %1: "/>
      <w:lvlJc w:val="left"/>
      <w:pPr>
        <w:tabs>
          <w:tab w:val="num" w:pos="0"/>
        </w:tabs>
        <w:ind w:left="0" w:firstLine="0"/>
      </w:pPr>
      <w:rPr>
        <w:caps w:val="0"/>
        <w:effect w:val="none"/>
      </w:rPr>
    </w:lvl>
    <w:lvl w:ilvl="1">
      <w:start w:val="1"/>
      <w:numFmt w:val="decimal"/>
      <w:pStyle w:val="SchPart"/>
      <w:suff w:val="space"/>
      <w:lvlText w:val="Part %2: "/>
      <w:lvlJc w:val="left"/>
      <w:pPr>
        <w:tabs>
          <w:tab w:val="num" w:pos="0"/>
        </w:tabs>
        <w:ind w:left="0" w:firstLine="0"/>
      </w:pPr>
      <w:rPr>
        <w:caps w:val="0"/>
        <w:effect w:val="none"/>
      </w:rPr>
    </w:lvl>
    <w:lvl w:ilvl="2">
      <w:start w:val="1"/>
      <w:numFmt w:val="decimal"/>
      <w:pStyle w:val="SchSection"/>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605C7446"/>
    <w:multiLevelType w:val="multilevel"/>
    <w:tmpl w:val="EAEE6AF4"/>
    <w:name w:val="List Bullet "/>
    <w:lvl w:ilvl="0">
      <w:start w:val="1"/>
      <w:numFmt w:val="bullet"/>
      <w:pStyle w:val="ListBullet1"/>
      <w:lvlText w:val="·"/>
      <w:lvlJc w:val="left"/>
      <w:pPr>
        <w:tabs>
          <w:tab w:val="num" w:pos="720"/>
        </w:tabs>
        <w:ind w:left="720" w:hanging="720"/>
      </w:pPr>
      <w:rPr>
        <w:rFonts w:ascii="Symbol" w:hAnsi="Symbol" w:hint="default"/>
      </w:rPr>
    </w:lvl>
    <w:lvl w:ilvl="1">
      <w:start w:val="1"/>
      <w:numFmt w:val="bullet"/>
      <w:pStyle w:val="ListBullet2"/>
      <w:lvlText w:val="·"/>
      <w:lvlJc w:val="left"/>
      <w:pPr>
        <w:tabs>
          <w:tab w:val="num" w:pos="720"/>
        </w:tabs>
        <w:ind w:left="720" w:hanging="720"/>
      </w:pPr>
      <w:rPr>
        <w:rFonts w:ascii="Symbol" w:hAnsi="Symbol" w:hint="default"/>
      </w:rPr>
    </w:lvl>
    <w:lvl w:ilvl="2">
      <w:start w:val="1"/>
      <w:numFmt w:val="bullet"/>
      <w:pStyle w:val="ListBullet3"/>
      <w:lvlText w:val="·"/>
      <w:lvlJc w:val="left"/>
      <w:pPr>
        <w:tabs>
          <w:tab w:val="num" w:pos="1800"/>
        </w:tabs>
        <w:ind w:left="1800" w:hanging="1080"/>
      </w:pPr>
      <w:rPr>
        <w:rFonts w:ascii="Symbol" w:hAnsi="Symbol" w:hint="default"/>
      </w:rPr>
    </w:lvl>
    <w:lvl w:ilvl="3">
      <w:start w:val="1"/>
      <w:numFmt w:val="bullet"/>
      <w:pStyle w:val="ListBullet4"/>
      <w:lvlText w:val="·"/>
      <w:lvlJc w:val="left"/>
      <w:pPr>
        <w:tabs>
          <w:tab w:val="num" w:pos="2880"/>
        </w:tabs>
        <w:ind w:left="2880" w:hanging="1080"/>
      </w:pPr>
      <w:rPr>
        <w:rFonts w:ascii="Symbol" w:hAnsi="Symbol" w:hint="default"/>
      </w:rPr>
    </w:lvl>
    <w:lvl w:ilvl="4">
      <w:start w:val="1"/>
      <w:numFmt w:val="bullet"/>
      <w:pStyle w:val="ListBullet5"/>
      <w:lvlText w:val="·"/>
      <w:lvlJc w:val="left"/>
      <w:pPr>
        <w:tabs>
          <w:tab w:val="num" w:pos="3600"/>
        </w:tabs>
        <w:ind w:left="3600" w:hanging="720"/>
      </w:pPr>
      <w:rPr>
        <w:rFonts w:ascii="Symbol" w:hAnsi="Symbol" w:hint="default"/>
      </w:rPr>
    </w:lvl>
    <w:lvl w:ilvl="5">
      <w:start w:val="1"/>
      <w:numFmt w:val="bullet"/>
      <w:pStyle w:val="ListBullet6"/>
      <w:lvlText w:val="·"/>
      <w:lvlJc w:val="left"/>
      <w:pPr>
        <w:tabs>
          <w:tab w:val="num" w:pos="4320"/>
        </w:tabs>
        <w:ind w:left="4320" w:hanging="720"/>
      </w:pPr>
      <w:rPr>
        <w:rFonts w:ascii="Symbol" w:hAnsi="Symbol" w:hint="default"/>
      </w:rPr>
    </w:lvl>
    <w:lvl w:ilvl="6">
      <w:start w:val="1"/>
      <w:numFmt w:val="bullet"/>
      <w:pStyle w:val="ListBullet7"/>
      <w:lvlText w:val="·"/>
      <w:lvlJc w:val="left"/>
      <w:pPr>
        <w:tabs>
          <w:tab w:val="num" w:pos="5040"/>
        </w:tabs>
        <w:ind w:left="5040" w:hanging="720"/>
      </w:pPr>
      <w:rPr>
        <w:rFonts w:ascii="Symbol" w:hAnsi="Symbol" w:hint="default"/>
      </w:rPr>
    </w:lvl>
    <w:lvl w:ilvl="7">
      <w:start w:val="1"/>
      <w:numFmt w:val="bullet"/>
      <w:pStyle w:val="ListBullet8"/>
      <w:lvlJc w:val="left"/>
      <w:pPr>
        <w:tabs>
          <w:tab w:val="num" w:pos="5040"/>
        </w:tabs>
        <w:ind w:left="5040" w:hanging="720"/>
      </w:pPr>
    </w:lvl>
    <w:lvl w:ilvl="8">
      <w:start w:val="1"/>
      <w:numFmt w:val="bullet"/>
      <w:pStyle w:val="ListBullet9"/>
      <w:lvlJc w:val="left"/>
      <w:pPr>
        <w:tabs>
          <w:tab w:val="num" w:pos="5040"/>
        </w:tabs>
        <w:ind w:left="5040" w:hanging="720"/>
      </w:pPr>
    </w:lvl>
  </w:abstractNum>
  <w:num w:numId="1">
    <w:abstractNumId w:val="8"/>
  </w:num>
  <w:num w:numId="2">
    <w:abstractNumId w:val="13"/>
  </w:num>
  <w:num w:numId="3">
    <w:abstractNumId w:val="9"/>
  </w:num>
  <w:num w:numId="4">
    <w:abstractNumId w:val="7"/>
  </w:num>
  <w:num w:numId="5">
    <w:abstractNumId w:val="14"/>
  </w:num>
  <w:num w:numId="6">
    <w:abstractNumId w:val="5"/>
  </w:num>
  <w:num w:numId="7">
    <w:abstractNumId w:val="15"/>
  </w:num>
  <w:num w:numId="8">
    <w:abstractNumId w:val="11"/>
  </w:num>
  <w:num w:numId="9">
    <w:abstractNumId w:val="6"/>
  </w:num>
  <w:num w:numId="10">
    <w:abstractNumId w:val="4"/>
  </w:num>
  <w:num w:numId="11">
    <w:abstractNumId w:val="3"/>
  </w:num>
  <w:num w:numId="12">
    <w:abstractNumId w:val="2"/>
  </w:num>
  <w:num w:numId="13">
    <w:abstractNumId w:val="1"/>
  </w:num>
  <w:num w:numId="14">
    <w:abstractNumId w:val="0"/>
  </w:num>
  <w:num w:numId="15">
    <w:abstractNumId w:val="10"/>
  </w:num>
  <w:num w:numId="16">
    <w:abstractNumId w:val="12"/>
  </w:num>
  <w:num w:numId="17">
    <w:abstractNumId w:val="13"/>
  </w:num>
  <w:num w:numId="18">
    <w:abstractNumId w:val="13"/>
  </w:num>
  <w:num w:numId="19">
    <w:abstractNumId w:val="13"/>
  </w:num>
  <w:num w:numId="20">
    <w:abstractNumId w:val="13"/>
  </w:num>
  <w:num w:numId="21">
    <w:abstractNumId w:val="13"/>
  </w:num>
  <w:num w:numId="22">
    <w:abstractNumId w:val="13"/>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13"/>
  </w:num>
  <w:num w:numId="33">
    <w:abstractNumId w:val="13"/>
  </w:num>
  <w:num w:numId="34">
    <w:abstractNumId w:val="13"/>
  </w:num>
  <w:num w:numId="35">
    <w:abstractNumId w:val="13"/>
  </w:num>
  <w:num w:numId="36">
    <w:abstractNumId w:val="13"/>
  </w:num>
  <w:num w:numId="37">
    <w:abstractNumId w:val="13"/>
  </w:num>
  <w:num w:numId="38">
    <w:abstractNumId w:val="13"/>
  </w:num>
  <w:num w:numId="39">
    <w:abstractNumId w:val="13"/>
  </w:num>
  <w:num w:numId="40">
    <w:abstractNumId w:val="13"/>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bordersDoNotSurroundHeader/>
  <w:bordersDoNotSurroundFooter/>
  <w:proofState w:spelling="clean"/>
  <w:stylePaneFormatFilter w:val="0004" w:allStyles="0" w:alternateStyleNames="0" w:clearFormatting="0" w:customStyles="0" w:directFormattingOnNumbering="0" w:directFormattingOnParagraphs="0" w:directFormattingOnRuns="0" w:directFormattingOnTables="0" w:headingStyles="0" w:latentStyles="1" w:numberingStyles="0" w:stylesInUse="0" w:tableStyles="0" w:top3HeadingStyles="0" w:visibleStyles="0"/>
  <w:defaultTabStop w:val="720"/>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Setting w:name="differentiateMultirowTableHeaders" w:uri="http://schemas.microsoft.com/office/word" w:val="1"/>
  </w:compat>
  <m:mathPr>
    <m:mathFont m:val="Cambria Math"/>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pPr>
      <w:overflowPunct w:val="0"/>
      <w:autoSpaceDE w:val="0"/>
      <w:autoSpaceDN w:val="0"/>
      <w:adjustRightInd w:val="0"/>
      <w:spacing w:after="240" w:line="360" w:lineRule="auto"/>
      <w:jc w:val="both"/>
      <w:textAlignment w:val="baseline"/>
    </w:pPr>
    <w:rPr>
      <w:sz w:val="22"/>
      <w:lang w:val="en-GB" w:eastAsia="en-US"/>
    </w:rPr>
  </w:style>
  <w:style w:type="paragraph" w:styleId="Heading1">
    <w:name w:val="heading 1"/>
    <w:basedOn w:val="HouseStyleBase"/>
    <w:qFormat/>
    <w:pPr>
      <w:numPr>
        <w:numId w:val="2"/>
      </w:numPr>
      <w:outlineLvl w:val="0"/>
    </w:pPr>
    <w:rPr>
      <w:rFonts w:ascii="Arial" w:hAnsi="Arial" w:cs="Arial"/>
      <w:b/>
      <w:u w:val="single"/>
    </w:rPr>
  </w:style>
  <w:style w:type="paragraph" w:styleId="Heading2">
    <w:name w:val="heading 2"/>
    <w:basedOn w:val="HouseStyleBase"/>
    <w:link w:val="Heading2Char"/>
    <w:qFormat/>
    <w:pPr>
      <w:numPr>
        <w:ilvl w:val="1"/>
        <w:numId w:val="2"/>
      </w:numPr>
      <w:tabs>
        <w:tab w:val="clear" w:pos="720"/>
        <w:tab w:val="num" w:pos="1440"/>
      </w:tabs>
      <w:ind w:left="1440"/>
      <w:outlineLvl w:val="1"/>
    </w:pPr>
    <w:rPr>
      <w:rFonts w:ascii="Arial" w:hAnsi="Arial" w:cs="Arial"/>
    </w:rPr>
  </w:style>
  <w:style w:type="paragraph" w:styleId="Heading3">
    <w:name w:val="heading 3"/>
    <w:basedOn w:val="HouseStyleBase"/>
    <w:qFormat/>
    <w:pPr>
      <w:numPr>
        <w:ilvl w:val="2"/>
        <w:numId w:val="2"/>
      </w:numPr>
      <w:outlineLvl w:val="2"/>
    </w:pPr>
    <w:rPr>
      <w:rFonts w:ascii="Arial" w:hAnsi="Arial" w:cs="Arial"/>
    </w:rPr>
  </w:style>
  <w:style w:type="paragraph" w:styleId="Heading4">
    <w:name w:val="heading 4"/>
    <w:basedOn w:val="HouseStyleBase"/>
    <w:qFormat/>
    <w:pPr>
      <w:numPr>
        <w:ilvl w:val="3"/>
        <w:numId w:val="2"/>
      </w:numPr>
      <w:outlineLvl w:val="3"/>
    </w:pPr>
    <w:rPr>
      <w:rFonts w:ascii="Arial" w:hAnsi="Arial" w:cs="Arial"/>
    </w:rPr>
  </w:style>
  <w:style w:type="paragraph" w:styleId="Heading5">
    <w:name w:val="heading 5"/>
    <w:basedOn w:val="HouseStyleBase"/>
    <w:qFormat/>
    <w:pPr>
      <w:numPr>
        <w:ilvl w:val="4"/>
        <w:numId w:val="2"/>
      </w:numPr>
      <w:outlineLvl w:val="4"/>
    </w:pPr>
  </w:style>
  <w:style w:type="paragraph" w:styleId="Heading6">
    <w:name w:val="heading 6"/>
    <w:basedOn w:val="HouseStyleBase"/>
    <w:qFormat/>
    <w:pPr>
      <w:numPr>
        <w:ilvl w:val="5"/>
        <w:numId w:val="2"/>
      </w:numPr>
      <w:outlineLvl w:val="5"/>
    </w:pPr>
  </w:style>
  <w:style w:type="paragraph" w:styleId="Heading7">
    <w:name w:val="heading 7"/>
    <w:basedOn w:val="HouseStyleBase"/>
    <w:qFormat/>
    <w:pPr>
      <w:numPr>
        <w:ilvl w:val="6"/>
        <w:numId w:val="2"/>
      </w:numPr>
      <w:outlineLvl w:val="6"/>
    </w:pPr>
  </w:style>
  <w:style w:type="paragraph" w:styleId="Heading8">
    <w:name w:val="heading 8"/>
    <w:basedOn w:val="HouseStyleBase"/>
    <w:qFormat/>
    <w:pPr>
      <w:numPr>
        <w:ilvl w:val="7"/>
        <w:numId w:val="2"/>
      </w:numPr>
      <w:outlineLvl w:val="7"/>
    </w:pPr>
  </w:style>
  <w:style w:type="paragraph" w:styleId="Heading9">
    <w:name w:val="heading 9"/>
    <w:basedOn w:val="HouseStyleBase"/>
    <w:qFormat/>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spacing w:after="0" w:line="240" w:lineRule="auto"/>
    </w:pPr>
  </w:style>
  <w:style w:type="paragraph" w:styleId="BodyTextIndent">
    <w:name w:val="Body Text Indent"/>
    <w:basedOn w:val="HouseStyleBase"/>
    <w:link w:val="BodyTextIndentChar"/>
    <w:pPr>
      <w:numPr>
        <w:numId w:val="4"/>
      </w:numPr>
    </w:pPr>
    <w:rPr>
      <w:rFonts w:ascii="Arial" w:hAnsi="Arial"/>
    </w:rPr>
  </w:style>
  <w:style w:type="paragraph" w:styleId="BodyTextIndent2">
    <w:name w:val="Body Text Indent 2"/>
    <w:basedOn w:val="HouseStyleBase"/>
    <w:pPr>
      <w:numPr>
        <w:ilvl w:val="1"/>
        <w:numId w:val="4"/>
      </w:numPr>
      <w:tabs>
        <w:tab w:val="clear" w:pos="720"/>
        <w:tab w:val="num" w:pos="1440"/>
      </w:tabs>
      <w:ind w:left="1440"/>
    </w:pPr>
    <w:rPr>
      <w:rFonts w:ascii="Arial" w:hAnsi="Arial" w:cs="Arial"/>
    </w:rPr>
  </w:style>
  <w:style w:type="paragraph" w:styleId="BodyTextIndent3">
    <w:name w:val="Body Text Indent 3"/>
    <w:basedOn w:val="HouseStyleBase"/>
    <w:pPr>
      <w:ind w:left="1800"/>
    </w:pPr>
  </w:style>
  <w:style w:type="paragraph" w:customStyle="1" w:styleId="BodyTextIndent4">
    <w:name w:val="Body Text Indent 4"/>
    <w:basedOn w:val="HouseStyleBase"/>
    <w:pPr>
      <w:ind w:left="2880"/>
    </w:pPr>
  </w:style>
  <w:style w:type="paragraph" w:customStyle="1" w:styleId="BodyTextIndent5">
    <w:name w:val="Body Text Indent 5"/>
    <w:basedOn w:val="HouseStyleBase"/>
    <w:pPr>
      <w:ind w:left="3600"/>
    </w:pPr>
  </w:style>
  <w:style w:type="paragraph" w:customStyle="1" w:styleId="MarginText">
    <w:name w:val="Margin Text"/>
    <w:basedOn w:val="HouseStyleBase"/>
    <w:rPr>
      <w:rFonts w:ascii="Arial" w:hAnsi="Arial" w:cs="Arial"/>
    </w:rPr>
  </w:style>
  <w:style w:type="paragraph" w:styleId="BodyText">
    <w:name w:val="Body Text"/>
    <w:basedOn w:val="Normal"/>
    <w:link w:val="BodyTextChar"/>
    <w:pPr>
      <w:spacing w:after="120"/>
    </w:pPr>
  </w:style>
  <w:style w:type="character" w:styleId="PageNumber">
    <w:name w:val="page number"/>
    <w:rPr>
      <w:sz w:val="22"/>
    </w:rPr>
  </w:style>
  <w:style w:type="paragraph" w:styleId="Header">
    <w:name w:val="header"/>
    <w:basedOn w:val="Normal"/>
    <w:pPr>
      <w:tabs>
        <w:tab w:val="center" w:pos="4153"/>
        <w:tab w:val="right" w:pos="8306"/>
      </w:tabs>
    </w:pPr>
  </w:style>
  <w:style w:type="paragraph" w:customStyle="1" w:styleId="BodyTextIndent6">
    <w:name w:val="Body Text Indent 6"/>
    <w:basedOn w:val="HouseStyleBase"/>
    <w:pPr>
      <w:ind w:left="4320"/>
    </w:pPr>
  </w:style>
  <w:style w:type="paragraph" w:customStyle="1" w:styleId="BodyTextIndent7">
    <w:name w:val="Body Text Indent 7"/>
    <w:basedOn w:val="HouseStyleBase"/>
    <w:pPr>
      <w:ind w:left="5040"/>
    </w:pPr>
  </w:style>
  <w:style w:type="paragraph" w:customStyle="1" w:styleId="SchHead">
    <w:name w:val="SchHead"/>
    <w:basedOn w:val="HouseStyleBaseCentred"/>
    <w:next w:val="SchPart"/>
    <w:pPr>
      <w:keepNext/>
      <w:numPr>
        <w:numId w:val="5"/>
      </w:numPr>
      <w:jc w:val="center"/>
      <w:outlineLvl w:val="0"/>
    </w:pPr>
    <w:rPr>
      <w:b/>
      <w:caps/>
    </w:rPr>
  </w:style>
  <w:style w:type="paragraph" w:customStyle="1" w:styleId="ScheduleL1">
    <w:name w:val="Schedule L1"/>
    <w:basedOn w:val="HouseStyleBase"/>
    <w:pPr>
      <w:numPr>
        <w:numId w:val="6"/>
      </w:numPr>
      <w:outlineLvl w:val="0"/>
    </w:pPr>
  </w:style>
  <w:style w:type="paragraph" w:styleId="ListBullet">
    <w:name w:val="List Bullet"/>
    <w:basedOn w:val="Normal"/>
    <w:pPr>
      <w:numPr>
        <w:ilvl w:val="10"/>
      </w:numPr>
      <w:ind w:left="720" w:hanging="720"/>
    </w:pPr>
  </w:style>
  <w:style w:type="paragraph" w:styleId="TOAHeading">
    <w:name w:val="toa heading"/>
    <w:basedOn w:val="Normal"/>
    <w:next w:val="Normal"/>
    <w:semiHidden/>
    <w:pPr>
      <w:spacing w:before="120"/>
    </w:pPr>
    <w:rPr>
      <w:b/>
    </w:rPr>
  </w:style>
  <w:style w:type="paragraph" w:styleId="Title">
    <w:name w:val="Title"/>
    <w:basedOn w:val="Normal"/>
    <w:qFormat/>
    <w:pPr>
      <w:spacing w:before="240" w:after="60"/>
      <w:jc w:val="center"/>
    </w:pPr>
    <w:rPr>
      <w:rFonts w:ascii="Arial" w:hAnsi="Arial"/>
      <w:b/>
      <w:kern w:val="28"/>
      <w:sz w:val="32"/>
    </w:rPr>
  </w:style>
  <w:style w:type="paragraph" w:styleId="ListBullet2">
    <w:name w:val="List Bullet 2"/>
    <w:basedOn w:val="HouseStyleBase"/>
    <w:pPr>
      <w:numPr>
        <w:ilvl w:val="1"/>
        <w:numId w:val="7"/>
      </w:numPr>
    </w:pPr>
  </w:style>
  <w:style w:type="paragraph" w:customStyle="1" w:styleId="HouseStyleBase">
    <w:name w:val="House Style Base"/>
    <w:link w:val="HouseStyleBaseChar"/>
    <w:pPr>
      <w:adjustRightInd w:val="0"/>
      <w:spacing w:after="240"/>
      <w:jc w:val="both"/>
    </w:pPr>
    <w:rPr>
      <w:rFonts w:eastAsia="STZhongsong"/>
      <w:sz w:val="22"/>
      <w:lang w:val="en-GB"/>
    </w:rPr>
  </w:style>
  <w:style w:type="numbering" w:styleId="111111">
    <w:name w:val="Outline List 2"/>
    <w:basedOn w:val="NoList"/>
    <w:pPr>
      <w:numPr>
        <w:numId w:val="1"/>
      </w:numPr>
    </w:pPr>
  </w:style>
  <w:style w:type="paragraph" w:styleId="TOC1">
    <w:name w:val="toc 1"/>
    <w:semiHidden/>
    <w:pPr>
      <w:tabs>
        <w:tab w:val="left" w:pos="720"/>
        <w:tab w:val="right" w:leader="dot" w:pos="9029"/>
      </w:tabs>
      <w:adjustRightInd w:val="0"/>
      <w:spacing w:after="120"/>
      <w:ind w:left="720" w:hanging="720"/>
    </w:pPr>
    <w:rPr>
      <w:rFonts w:eastAsia="STZhongsong"/>
      <w:caps/>
      <w:sz w:val="22"/>
      <w:lang w:val="en-GB"/>
    </w:rPr>
  </w:style>
  <w:style w:type="paragraph" w:styleId="TOC2">
    <w:name w:val="toc 2"/>
    <w:semiHidden/>
    <w:pPr>
      <w:tabs>
        <w:tab w:val="left" w:pos="1440"/>
        <w:tab w:val="right" w:leader="dot" w:pos="9029"/>
      </w:tabs>
      <w:adjustRightInd w:val="0"/>
      <w:spacing w:after="120"/>
      <w:ind w:left="1440" w:hanging="720"/>
    </w:pPr>
    <w:rPr>
      <w:rFonts w:eastAsia="STZhongsong"/>
      <w:sz w:val="22"/>
      <w:lang w:val="en-GB"/>
    </w:rPr>
  </w:style>
  <w:style w:type="paragraph" w:styleId="TOC3">
    <w:name w:val="toc 3"/>
    <w:semiHidden/>
    <w:pPr>
      <w:tabs>
        <w:tab w:val="left" w:pos="2160"/>
        <w:tab w:val="right" w:leader="dot" w:pos="9029"/>
      </w:tabs>
      <w:adjustRightInd w:val="0"/>
      <w:spacing w:after="120"/>
      <w:ind w:left="2160" w:hanging="720"/>
    </w:pPr>
    <w:rPr>
      <w:rFonts w:eastAsia="STZhongsong"/>
      <w:sz w:val="22"/>
      <w:lang w:val="en-GB"/>
    </w:rPr>
  </w:style>
  <w:style w:type="paragraph" w:styleId="TOC4">
    <w:name w:val="toc 4"/>
    <w:semiHidden/>
    <w:pPr>
      <w:tabs>
        <w:tab w:val="left" w:pos="2880"/>
        <w:tab w:val="right" w:leader="dot" w:pos="9029"/>
      </w:tabs>
      <w:adjustRightInd w:val="0"/>
      <w:spacing w:after="120"/>
      <w:ind w:left="2880" w:hanging="720"/>
    </w:pPr>
    <w:rPr>
      <w:rFonts w:eastAsia="STZhongsong"/>
      <w:sz w:val="22"/>
      <w:lang w:val="en-GB"/>
    </w:rPr>
  </w:style>
  <w:style w:type="paragraph" w:styleId="TOC5">
    <w:name w:val="toc 5"/>
    <w:semiHidden/>
    <w:pPr>
      <w:tabs>
        <w:tab w:val="left" w:pos="3600"/>
        <w:tab w:val="right" w:leader="dot" w:pos="9029"/>
      </w:tabs>
      <w:adjustRightInd w:val="0"/>
      <w:spacing w:after="120"/>
      <w:ind w:left="3600" w:hanging="720"/>
    </w:pPr>
    <w:rPr>
      <w:rFonts w:eastAsia="STZhongsong"/>
      <w:sz w:val="22"/>
      <w:lang w:val="en-GB"/>
    </w:rPr>
  </w:style>
  <w:style w:type="paragraph" w:styleId="TOC6">
    <w:name w:val="toc 6"/>
    <w:semiHidden/>
    <w:pPr>
      <w:tabs>
        <w:tab w:val="left" w:pos="4320"/>
        <w:tab w:val="right" w:leader="dot" w:pos="9029"/>
      </w:tabs>
      <w:adjustRightInd w:val="0"/>
      <w:spacing w:after="120"/>
      <w:ind w:left="4320" w:hanging="720"/>
    </w:pPr>
    <w:rPr>
      <w:rFonts w:eastAsia="STZhongsong"/>
      <w:sz w:val="22"/>
      <w:lang w:val="en-GB"/>
    </w:rPr>
  </w:style>
  <w:style w:type="paragraph" w:styleId="TOC7">
    <w:name w:val="toc 7"/>
    <w:semiHidden/>
    <w:pPr>
      <w:tabs>
        <w:tab w:val="left" w:pos="5040"/>
        <w:tab w:val="right" w:leader="dot" w:pos="9029"/>
      </w:tabs>
      <w:adjustRightInd w:val="0"/>
      <w:spacing w:after="120"/>
      <w:ind w:left="5040" w:hanging="720"/>
    </w:pPr>
    <w:rPr>
      <w:rFonts w:eastAsia="STZhongsong"/>
      <w:sz w:val="22"/>
      <w:lang w:val="en-GB"/>
    </w:rPr>
  </w:style>
  <w:style w:type="paragraph" w:styleId="TOC8">
    <w:name w:val="toc 8"/>
    <w:semiHidden/>
    <w:pPr>
      <w:tabs>
        <w:tab w:val="right" w:leader="dot" w:pos="9029"/>
      </w:tabs>
      <w:adjustRightInd w:val="0"/>
      <w:spacing w:after="120"/>
    </w:pPr>
    <w:rPr>
      <w:rFonts w:eastAsia="STZhongsong"/>
      <w:caps/>
      <w:sz w:val="22"/>
      <w:lang w:val="en-GB"/>
    </w:rPr>
  </w:style>
  <w:style w:type="paragraph" w:styleId="TOC9">
    <w:name w:val="toc 9"/>
    <w:semiHidden/>
    <w:pPr>
      <w:tabs>
        <w:tab w:val="right" w:leader="dot" w:pos="9029"/>
      </w:tabs>
      <w:adjustRightInd w:val="0"/>
      <w:spacing w:after="120"/>
      <w:ind w:left="720"/>
    </w:pPr>
    <w:rPr>
      <w:rFonts w:eastAsia="STZhongsong"/>
      <w:sz w:val="22"/>
      <w:lang w:val="en-GB"/>
    </w:rPr>
  </w:style>
  <w:style w:type="paragraph" w:customStyle="1" w:styleId="HouseStyleBaseCentred">
    <w:name w:val="House Style Base Centred"/>
    <w:pPr>
      <w:adjustRightInd w:val="0"/>
      <w:spacing w:after="240"/>
    </w:pPr>
    <w:rPr>
      <w:rFonts w:eastAsia="STZhongsong"/>
      <w:sz w:val="22"/>
      <w:lang w:val="en-GB"/>
    </w:rPr>
  </w:style>
  <w:style w:type="paragraph" w:styleId="FootnoteText">
    <w:name w:val="footnote text"/>
    <w:basedOn w:val="HouseStyleBase"/>
    <w:semiHidden/>
    <w:pPr>
      <w:spacing w:after="60"/>
      <w:ind w:left="720" w:hanging="720"/>
    </w:pPr>
    <w:rPr>
      <w:sz w:val="16"/>
    </w:rPr>
  </w:style>
  <w:style w:type="character" w:styleId="FootnoteReference">
    <w:name w:val="footnote reference"/>
    <w:semiHidden/>
    <w:rPr>
      <w:rFonts w:ascii="Times New Roman" w:hAnsi="Times New Roman" w:cs="Times New Roman"/>
      <w:b w:val="0"/>
      <w:bCs w:val="0"/>
      <w:i w:val="0"/>
      <w:iCs w:val="0"/>
      <w:caps w:val="0"/>
      <w:smallCaps w:val="0"/>
      <w:strike w:val="0"/>
      <w:dstrike w:val="0"/>
      <w:snapToGrid w:val="0"/>
      <w:vanish w:val="0"/>
      <w:color w:val="auto"/>
      <w:kern w:val="0"/>
      <w:sz w:val="22"/>
      <w:u w:val="none"/>
      <w:effect w:val="none"/>
      <w:vertAlign w:val="superscript"/>
      <w14:shadow w14:blurRad="0" w14:dist="0" w14:dir="0" w14:sx="0" w14:sy="0" w14:kx="0" w14:ky="0" w14:algn="none">
        <w14:srgbClr w14:val="000000"/>
      </w14:shadow>
      <w14:textOutline w14:cap="rnd">
        <w14:noFill/>
        <w14:bevel/>
      </w14:textOutline>
    </w:rPr>
  </w:style>
  <w:style w:type="paragraph" w:styleId="EndnoteText">
    <w:name w:val="endnote text"/>
    <w:basedOn w:val="HouseStyleBase"/>
    <w:semiHidden/>
    <w:pPr>
      <w:spacing w:after="120"/>
      <w:ind w:left="720" w:hanging="720"/>
    </w:pPr>
    <w:rPr>
      <w:sz w:val="18"/>
    </w:rPr>
  </w:style>
  <w:style w:type="character" w:styleId="EndnoteReference">
    <w:name w:val="endnote reference"/>
    <w:semiHidden/>
    <w:rPr>
      <w:rFonts w:ascii="Times New Roman" w:hAnsi="Times New Roman" w:cs="Times New Roman"/>
      <w:b w:val="0"/>
      <w:bCs w:val="0"/>
      <w:i w:val="0"/>
      <w:iCs w:val="0"/>
      <w:caps w:val="0"/>
      <w:smallCaps w:val="0"/>
      <w:strike w:val="0"/>
      <w:dstrike w:val="0"/>
      <w:snapToGrid w:val="0"/>
      <w:vanish w:val="0"/>
      <w:color w:val="auto"/>
      <w:kern w:val="0"/>
      <w:sz w:val="22"/>
      <w:u w:val="none"/>
      <w:effect w:val="none"/>
      <w:vertAlign w:val="superscript"/>
      <w14:shadow w14:blurRad="0" w14:dist="0" w14:dir="0" w14:sx="0" w14:sy="0" w14:kx="0" w14:ky="0" w14:algn="none">
        <w14:srgbClr w14:val="000000"/>
      </w14:shadow>
      <w14:textOutline w14:cap="rnd">
        <w14:noFill/>
        <w14:bevel/>
      </w14:textOutline>
    </w:rPr>
  </w:style>
  <w:style w:type="table" w:styleId="TableGrid">
    <w:name w:val="Table Grid"/>
    <w:basedOn w:val="TableNormal"/>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HouseStyleBaseCentred"/>
    <w:next w:val="MarginText"/>
    <w:pPr>
      <w:keepNext/>
      <w:jc w:val="center"/>
    </w:pPr>
    <w:rPr>
      <w:b/>
      <w:caps/>
    </w:rPr>
  </w:style>
  <w:style w:type="paragraph" w:customStyle="1" w:styleId="AppHead">
    <w:name w:val="AppHead"/>
    <w:basedOn w:val="HouseStyleBaseCentred"/>
    <w:pPr>
      <w:numPr>
        <w:numId w:val="3"/>
      </w:numPr>
      <w:jc w:val="center"/>
      <w:outlineLvl w:val="0"/>
    </w:pPr>
    <w:rPr>
      <w:b/>
      <w:caps/>
    </w:rPr>
  </w:style>
  <w:style w:type="paragraph" w:customStyle="1" w:styleId="RecitalNumbering">
    <w:name w:val="Recital Numbering"/>
    <w:basedOn w:val="HouseStyleBase"/>
    <w:pPr>
      <w:numPr>
        <w:numId w:val="8"/>
      </w:numPr>
      <w:outlineLvl w:val="0"/>
    </w:pPr>
  </w:style>
  <w:style w:type="paragraph" w:customStyle="1" w:styleId="DefinitionNumbering1">
    <w:name w:val="Definition Numbering 1"/>
    <w:basedOn w:val="HouseStyleBase"/>
    <w:pPr>
      <w:numPr>
        <w:ilvl w:val="2"/>
        <w:numId w:val="4"/>
      </w:numPr>
      <w:outlineLvl w:val="0"/>
    </w:pPr>
  </w:style>
  <w:style w:type="paragraph" w:customStyle="1" w:styleId="DefinitionNumbering2">
    <w:name w:val="Definition Numbering 2"/>
    <w:basedOn w:val="HouseStyleBase"/>
    <w:pPr>
      <w:numPr>
        <w:ilvl w:val="3"/>
        <w:numId w:val="4"/>
      </w:numPr>
      <w:outlineLvl w:val="1"/>
    </w:pPr>
  </w:style>
  <w:style w:type="paragraph" w:customStyle="1" w:styleId="DefinitionNumbering3">
    <w:name w:val="Definition Numbering 3"/>
    <w:basedOn w:val="HouseStyleBase"/>
    <w:pPr>
      <w:numPr>
        <w:ilvl w:val="4"/>
        <w:numId w:val="4"/>
      </w:numPr>
      <w:outlineLvl w:val="2"/>
    </w:pPr>
  </w:style>
  <w:style w:type="paragraph" w:customStyle="1" w:styleId="DefinitionNumbering4">
    <w:name w:val="Definition Numbering 4"/>
    <w:basedOn w:val="HouseStyleBase"/>
    <w:pPr>
      <w:numPr>
        <w:ilvl w:val="5"/>
        <w:numId w:val="4"/>
      </w:numPr>
      <w:outlineLvl w:val="3"/>
    </w:pPr>
  </w:style>
  <w:style w:type="paragraph" w:customStyle="1" w:styleId="DefinitionNumbering5">
    <w:name w:val="Definition Numbering 5"/>
    <w:basedOn w:val="HouseStyleBase"/>
    <w:pPr>
      <w:numPr>
        <w:ilvl w:val="6"/>
        <w:numId w:val="4"/>
      </w:numPr>
      <w:outlineLvl w:val="4"/>
    </w:pPr>
  </w:style>
  <w:style w:type="paragraph" w:customStyle="1" w:styleId="DefinitionNumbering6">
    <w:name w:val="Definition Numbering 6"/>
    <w:basedOn w:val="HouseStyleBase"/>
    <w:pPr>
      <w:numPr>
        <w:ilvl w:val="7"/>
        <w:numId w:val="4"/>
      </w:numPr>
      <w:outlineLvl w:val="5"/>
    </w:pPr>
  </w:style>
  <w:style w:type="paragraph" w:customStyle="1" w:styleId="DefinitionNumbering7">
    <w:name w:val="Definition Numbering 7"/>
    <w:basedOn w:val="HouseStyleBase"/>
    <w:pPr>
      <w:numPr>
        <w:ilvl w:val="8"/>
        <w:numId w:val="4"/>
      </w:numPr>
      <w:outlineLvl w:val="6"/>
    </w:pPr>
  </w:style>
  <w:style w:type="paragraph" w:customStyle="1" w:styleId="DefinitionNumbering8">
    <w:name w:val="Definition Numbering 8"/>
    <w:basedOn w:val="HouseStyleBase"/>
    <w:pPr>
      <w:numPr>
        <w:ilvl w:val="7"/>
        <w:numId w:val="9"/>
      </w:numPr>
      <w:outlineLvl w:val="7"/>
    </w:pPr>
  </w:style>
  <w:style w:type="paragraph" w:customStyle="1" w:styleId="DefinitionNumbering9">
    <w:name w:val="Definition Numbering 9"/>
    <w:basedOn w:val="HouseStyleBase"/>
    <w:pPr>
      <w:numPr>
        <w:ilvl w:val="8"/>
        <w:numId w:val="9"/>
      </w:numPr>
      <w:outlineLvl w:val="8"/>
    </w:pPr>
  </w:style>
  <w:style w:type="paragraph" w:customStyle="1" w:styleId="ListBullet1">
    <w:name w:val="List Bullet 1"/>
    <w:basedOn w:val="HouseStyleBase"/>
    <w:pPr>
      <w:numPr>
        <w:numId w:val="7"/>
      </w:numPr>
    </w:pPr>
  </w:style>
  <w:style w:type="paragraph" w:styleId="ListBullet3">
    <w:name w:val="List Bullet 3"/>
    <w:basedOn w:val="HouseStyleBase"/>
    <w:pPr>
      <w:numPr>
        <w:ilvl w:val="2"/>
        <w:numId w:val="7"/>
      </w:numPr>
    </w:pPr>
  </w:style>
  <w:style w:type="paragraph" w:styleId="ListBullet4">
    <w:name w:val="List Bullet 4"/>
    <w:basedOn w:val="HouseStyleBase"/>
    <w:pPr>
      <w:numPr>
        <w:ilvl w:val="3"/>
        <w:numId w:val="7"/>
      </w:numPr>
    </w:pPr>
  </w:style>
  <w:style w:type="paragraph" w:styleId="ListBullet5">
    <w:name w:val="List Bullet 5"/>
    <w:basedOn w:val="HouseStyleBase"/>
    <w:pPr>
      <w:numPr>
        <w:ilvl w:val="4"/>
        <w:numId w:val="7"/>
      </w:numPr>
    </w:pPr>
  </w:style>
  <w:style w:type="paragraph" w:customStyle="1" w:styleId="ListBullet6">
    <w:name w:val="List Bullet 6"/>
    <w:basedOn w:val="HouseStyleBase"/>
    <w:pPr>
      <w:numPr>
        <w:ilvl w:val="5"/>
        <w:numId w:val="7"/>
      </w:numPr>
    </w:pPr>
  </w:style>
  <w:style w:type="paragraph" w:customStyle="1" w:styleId="ListBullet7">
    <w:name w:val="List Bullet 7"/>
    <w:basedOn w:val="HouseStyleBase"/>
    <w:pPr>
      <w:numPr>
        <w:ilvl w:val="6"/>
        <w:numId w:val="7"/>
      </w:numPr>
    </w:pPr>
  </w:style>
  <w:style w:type="paragraph" w:customStyle="1" w:styleId="ListBullet8">
    <w:name w:val="List Bullet 8"/>
    <w:basedOn w:val="HouseStyleBase"/>
    <w:pPr>
      <w:numPr>
        <w:ilvl w:val="7"/>
        <w:numId w:val="7"/>
      </w:numPr>
    </w:pPr>
  </w:style>
  <w:style w:type="paragraph" w:customStyle="1" w:styleId="ListBullet9">
    <w:name w:val="List Bullet 9"/>
    <w:basedOn w:val="HouseStyleBase"/>
    <w:pPr>
      <w:numPr>
        <w:ilvl w:val="8"/>
        <w:numId w:val="7"/>
      </w:numPr>
    </w:pPr>
  </w:style>
  <w:style w:type="paragraph" w:customStyle="1" w:styleId="SchPart">
    <w:name w:val="SchPart"/>
    <w:basedOn w:val="HouseStyleBaseCentred"/>
    <w:next w:val="MarginText"/>
    <w:pPr>
      <w:keepNext/>
      <w:numPr>
        <w:ilvl w:val="1"/>
        <w:numId w:val="5"/>
      </w:numPr>
      <w:jc w:val="center"/>
      <w:outlineLvl w:val="1"/>
    </w:pPr>
    <w:rPr>
      <w:b/>
    </w:rPr>
  </w:style>
  <w:style w:type="paragraph" w:customStyle="1" w:styleId="ScheduleL2">
    <w:name w:val="Schedule L2"/>
    <w:basedOn w:val="HouseStyleBase"/>
    <w:pPr>
      <w:numPr>
        <w:ilvl w:val="1"/>
        <w:numId w:val="6"/>
      </w:numPr>
      <w:outlineLvl w:val="1"/>
    </w:pPr>
  </w:style>
  <w:style w:type="paragraph" w:customStyle="1" w:styleId="ScheduleL3">
    <w:name w:val="Schedule L3"/>
    <w:basedOn w:val="HouseStyleBase"/>
    <w:pPr>
      <w:numPr>
        <w:ilvl w:val="2"/>
        <w:numId w:val="6"/>
      </w:numPr>
      <w:outlineLvl w:val="2"/>
    </w:pPr>
  </w:style>
  <w:style w:type="paragraph" w:customStyle="1" w:styleId="ScheduleL4">
    <w:name w:val="Schedule L4"/>
    <w:basedOn w:val="HouseStyleBase"/>
    <w:pPr>
      <w:numPr>
        <w:ilvl w:val="3"/>
        <w:numId w:val="6"/>
      </w:numPr>
      <w:outlineLvl w:val="3"/>
    </w:pPr>
  </w:style>
  <w:style w:type="paragraph" w:customStyle="1" w:styleId="ScheduleL5">
    <w:name w:val="Schedule L5"/>
    <w:basedOn w:val="HouseStyleBase"/>
    <w:pPr>
      <w:numPr>
        <w:ilvl w:val="4"/>
        <w:numId w:val="6"/>
      </w:numPr>
      <w:outlineLvl w:val="4"/>
    </w:pPr>
  </w:style>
  <w:style w:type="paragraph" w:customStyle="1" w:styleId="ScheduleL6">
    <w:name w:val="Schedule L6"/>
    <w:basedOn w:val="HouseStyleBase"/>
    <w:pPr>
      <w:numPr>
        <w:ilvl w:val="5"/>
        <w:numId w:val="6"/>
      </w:numPr>
      <w:outlineLvl w:val="5"/>
    </w:pPr>
  </w:style>
  <w:style w:type="paragraph" w:customStyle="1" w:styleId="ScheduleL7">
    <w:name w:val="Schedule L7"/>
    <w:basedOn w:val="HouseStyleBase"/>
    <w:pPr>
      <w:numPr>
        <w:ilvl w:val="6"/>
        <w:numId w:val="6"/>
      </w:numPr>
      <w:outlineLvl w:val="6"/>
    </w:pPr>
  </w:style>
  <w:style w:type="paragraph" w:customStyle="1" w:styleId="ScheduleL8">
    <w:name w:val="Schedule L8"/>
    <w:basedOn w:val="HouseStyleBase"/>
    <w:pPr>
      <w:numPr>
        <w:ilvl w:val="7"/>
        <w:numId w:val="6"/>
      </w:numPr>
      <w:outlineLvl w:val="7"/>
    </w:pPr>
  </w:style>
  <w:style w:type="paragraph" w:customStyle="1" w:styleId="ScheduleL9">
    <w:name w:val="Schedule L9"/>
    <w:basedOn w:val="HouseStyleBase"/>
    <w:pPr>
      <w:numPr>
        <w:ilvl w:val="8"/>
        <w:numId w:val="6"/>
      </w:numPr>
      <w:outlineLvl w:val="8"/>
    </w:pPr>
  </w:style>
  <w:style w:type="paragraph" w:customStyle="1" w:styleId="SchSection">
    <w:name w:val="SchSection"/>
    <w:basedOn w:val="HouseStyleBaseCentred"/>
    <w:next w:val="MarginText"/>
    <w:pPr>
      <w:keepNext/>
      <w:numPr>
        <w:ilvl w:val="2"/>
        <w:numId w:val="5"/>
      </w:numPr>
      <w:jc w:val="center"/>
      <w:outlineLvl w:val="2"/>
    </w:pPr>
    <w:rPr>
      <w:b/>
    </w:rPr>
  </w:style>
  <w:style w:type="paragraph" w:customStyle="1" w:styleId="Table-followingparagraph">
    <w:name w:val="Table - following paragraph"/>
    <w:basedOn w:val="HouseStyleBase"/>
    <w:next w:val="MarginText"/>
    <w:pPr>
      <w:spacing w:after="0"/>
    </w:pPr>
    <w:rPr>
      <w:rFonts w:ascii="Arial" w:hAnsi="Arial" w:cs="Arial"/>
    </w:rPr>
  </w:style>
  <w:style w:type="paragraph" w:customStyle="1" w:styleId="Table-Text">
    <w:name w:val="Table - Text"/>
    <w:basedOn w:val="HouseStyleBase"/>
    <w:pPr>
      <w:spacing w:before="120" w:after="120"/>
      <w:jc w:val="left"/>
    </w:pPr>
  </w:style>
  <w:style w:type="paragraph" w:customStyle="1" w:styleId="AppPart">
    <w:name w:val="AppPart"/>
    <w:basedOn w:val="HouseStyleBaseCentred"/>
    <w:pPr>
      <w:numPr>
        <w:ilvl w:val="1"/>
        <w:numId w:val="3"/>
      </w:numPr>
      <w:jc w:val="center"/>
      <w:outlineLvl w:val="1"/>
    </w:pPr>
    <w:rPr>
      <w:b/>
    </w:rPr>
  </w:style>
  <w:style w:type="paragraph" w:customStyle="1" w:styleId="RecitalNumbering2">
    <w:name w:val="Recital Numbering 2"/>
    <w:basedOn w:val="HouseStyleBase"/>
    <w:pPr>
      <w:numPr>
        <w:ilvl w:val="1"/>
        <w:numId w:val="8"/>
      </w:numPr>
      <w:overflowPunct w:val="0"/>
      <w:autoSpaceDE w:val="0"/>
      <w:autoSpaceDN w:val="0"/>
      <w:textAlignment w:val="baseline"/>
    </w:pPr>
  </w:style>
  <w:style w:type="paragraph" w:customStyle="1" w:styleId="RecitalNumbering3">
    <w:name w:val="Recital Numbering 3"/>
    <w:basedOn w:val="HouseStyleBase"/>
    <w:pPr>
      <w:numPr>
        <w:ilvl w:val="2"/>
        <w:numId w:val="8"/>
      </w:numPr>
      <w:overflowPunct w:val="0"/>
      <w:autoSpaceDE w:val="0"/>
      <w:autoSpaceDN w:val="0"/>
      <w:textAlignment w:val="baseline"/>
    </w:pPr>
  </w:style>
  <w:style w:type="paragraph" w:styleId="BalloonText">
    <w:name w:val="Balloon Text"/>
    <w:basedOn w:val="Normal"/>
    <w:link w:val="BalloonTextChar"/>
    <w:pPr>
      <w:spacing w:after="0" w:line="240" w:lineRule="auto"/>
    </w:pPr>
    <w:rPr>
      <w:rFonts w:ascii="Tahoma" w:hAnsi="Tahoma"/>
      <w:sz w:val="16"/>
      <w:szCs w:val="16"/>
    </w:rPr>
  </w:style>
  <w:style w:type="character" w:customStyle="1" w:styleId="BalloonTextChar">
    <w:name w:val="Balloon Text Char"/>
    <w:link w:val="BalloonText"/>
    <w:rPr>
      <w:rFonts w:ascii="Tahoma" w:hAnsi="Tahoma" w:cs="Tahoma"/>
      <w:sz w:val="16"/>
      <w:szCs w:val="16"/>
      <w:lang w:eastAsia="en-US"/>
    </w:rPr>
  </w:style>
  <w:style w:type="paragraph" w:styleId="Bibliography">
    <w:name w:val="Bibliography"/>
    <w:basedOn w:val="Normal"/>
    <w:next w:val="Normal"/>
    <w:uiPriority w:val="37"/>
    <w:semiHidden/>
    <w:unhideWhenUsed/>
  </w:style>
  <w:style w:type="paragraph" w:styleId="BlockText">
    <w:name w:val="Block Text"/>
    <w:basedOn w:val="Normal"/>
    <w:pPr>
      <w:spacing w:after="120"/>
      <w:ind w:left="1440" w:right="1440"/>
    </w:pPr>
  </w:style>
  <w:style w:type="paragraph" w:styleId="BodyText2">
    <w:name w:val="Body Text 2"/>
    <w:basedOn w:val="Normal"/>
    <w:link w:val="BodyText2Char"/>
    <w:pPr>
      <w:spacing w:after="120" w:line="480" w:lineRule="auto"/>
    </w:pPr>
  </w:style>
  <w:style w:type="character" w:customStyle="1" w:styleId="BodyText2Char">
    <w:name w:val="Body Text 2 Char"/>
    <w:link w:val="BodyText2"/>
    <w:rPr>
      <w:sz w:val="22"/>
      <w:lang w:eastAsia="en-US"/>
    </w:rPr>
  </w:style>
  <w:style w:type="paragraph" w:styleId="BodyText3">
    <w:name w:val="Body Text 3"/>
    <w:basedOn w:val="Normal"/>
    <w:link w:val="BodyText3Char"/>
    <w:pPr>
      <w:spacing w:after="120"/>
    </w:pPr>
    <w:rPr>
      <w:sz w:val="16"/>
      <w:szCs w:val="16"/>
    </w:rPr>
  </w:style>
  <w:style w:type="character" w:customStyle="1" w:styleId="BodyText3Char">
    <w:name w:val="Body Text 3 Char"/>
    <w:link w:val="BodyText3"/>
    <w:rPr>
      <w:sz w:val="16"/>
      <w:szCs w:val="16"/>
      <w:lang w:eastAsia="en-US"/>
    </w:rPr>
  </w:style>
  <w:style w:type="paragraph" w:styleId="BodyTextFirstIndent">
    <w:name w:val="Body Text First Indent"/>
    <w:basedOn w:val="BodyText"/>
    <w:link w:val="BodyTextFirstIndentChar"/>
    <w:pPr>
      <w:ind w:firstLine="210"/>
    </w:pPr>
  </w:style>
  <w:style w:type="character" w:customStyle="1" w:styleId="BodyTextChar">
    <w:name w:val="Body Text Char"/>
    <w:link w:val="BodyText"/>
    <w:rPr>
      <w:sz w:val="22"/>
      <w:lang w:eastAsia="en-US"/>
    </w:rPr>
  </w:style>
  <w:style w:type="character" w:customStyle="1" w:styleId="BodyTextFirstIndentChar">
    <w:name w:val="Body Text First Indent Char"/>
    <w:basedOn w:val="BodyTextChar"/>
    <w:link w:val="BodyTextFirstIndent"/>
    <w:rPr>
      <w:sz w:val="22"/>
      <w:lang w:eastAsia="en-US"/>
    </w:rPr>
  </w:style>
  <w:style w:type="paragraph" w:styleId="BodyTextFirstIndent2">
    <w:name w:val="Body Text First Indent 2"/>
    <w:basedOn w:val="BodyTextIndent"/>
    <w:link w:val="BodyTextFirstIndent2Char"/>
    <w:pPr>
      <w:numPr>
        <w:numId w:val="0"/>
      </w:numPr>
      <w:overflowPunct w:val="0"/>
      <w:autoSpaceDE w:val="0"/>
      <w:autoSpaceDN w:val="0"/>
      <w:spacing w:after="120" w:line="360" w:lineRule="auto"/>
      <w:ind w:left="283" w:firstLine="210"/>
      <w:textAlignment w:val="baseline"/>
    </w:pPr>
    <w:rPr>
      <w:lang w:eastAsia="en-US"/>
    </w:rPr>
  </w:style>
  <w:style w:type="character" w:customStyle="1" w:styleId="HouseStyleBaseChar">
    <w:name w:val="House Style Base Char"/>
    <w:link w:val="HouseStyleBase"/>
    <w:rPr>
      <w:rFonts w:eastAsia="STZhongsong"/>
      <w:sz w:val="22"/>
      <w:lang w:eastAsia="zh-CN" w:bidi="ar-SA"/>
    </w:rPr>
  </w:style>
  <w:style w:type="character" w:customStyle="1" w:styleId="BodyTextIndentChar">
    <w:name w:val="Body Text Indent Char"/>
    <w:link w:val="BodyTextIndent"/>
    <w:rPr>
      <w:rFonts w:ascii="Arial" w:eastAsia="STZhongsong" w:hAnsi="Arial"/>
      <w:sz w:val="22"/>
    </w:rPr>
  </w:style>
  <w:style w:type="character" w:customStyle="1" w:styleId="BodyTextFirstIndent2Char">
    <w:name w:val="Body Text First Indent 2 Char"/>
    <w:link w:val="BodyTextFirstIndent2"/>
    <w:rPr>
      <w:rFonts w:ascii="Arial" w:eastAsia="STZhongsong" w:hAnsi="Arial" w:cs="Arial"/>
      <w:sz w:val="22"/>
      <w:lang w:eastAsia="en-US"/>
    </w:rPr>
  </w:style>
  <w:style w:type="character" w:styleId="BookTitle">
    <w:name w:val="Book Title"/>
    <w:uiPriority w:val="33"/>
    <w:qFormat/>
    <w:rPr>
      <w:b/>
      <w:bCs/>
      <w:smallCaps/>
      <w:spacing w:val="5"/>
    </w:rPr>
  </w:style>
  <w:style w:type="paragraph" w:styleId="Caption">
    <w:name w:val="caption"/>
    <w:basedOn w:val="Normal"/>
    <w:next w:val="Normal"/>
    <w:qFormat/>
    <w:rPr>
      <w:b/>
      <w:bCs/>
      <w:sz w:val="20"/>
    </w:rPr>
  </w:style>
  <w:style w:type="paragraph" w:styleId="Closing">
    <w:name w:val="Closing"/>
    <w:basedOn w:val="Normal"/>
    <w:link w:val="ClosingChar"/>
    <w:pPr>
      <w:ind w:left="4252"/>
    </w:pPr>
  </w:style>
  <w:style w:type="character" w:customStyle="1" w:styleId="ClosingChar">
    <w:name w:val="Closing Char"/>
    <w:link w:val="Closing"/>
    <w:rPr>
      <w:sz w:val="22"/>
      <w:lang w:eastAsia="en-US"/>
    </w:rPr>
  </w:style>
  <w:style w:type="table" w:customStyle="1" w:styleId="1">
    <w:name w:val="彩色网格1"/>
    <w:basedOn w:val="TableNormal"/>
    <w:uiPriority w:val="7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10">
    <w:name w:val="彩色列表1"/>
    <w:basedOn w:val="TableNormal"/>
    <w:uiPriority w:val="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11">
    <w:name w:val="彩色底纹1"/>
    <w:basedOn w:val="TableNormal"/>
    <w:uiPriority w:val="71"/>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link w:val="CommentText"/>
    <w:rPr>
      <w:lang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lang w:eastAsia="en-US"/>
    </w:rPr>
  </w:style>
  <w:style w:type="table" w:customStyle="1" w:styleId="12">
    <w:name w:val="深色列表1"/>
    <w:basedOn w:val="TableNormal"/>
    <w:uiPriority w:val="70"/>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style>
  <w:style w:type="character" w:customStyle="1" w:styleId="DateChar">
    <w:name w:val="Date Char"/>
    <w:link w:val="Date"/>
    <w:rPr>
      <w:sz w:val="22"/>
      <w:lang w:eastAsia="en-US"/>
    </w:rPr>
  </w:style>
  <w:style w:type="paragraph" w:styleId="DocumentMap">
    <w:name w:val="Document Map"/>
    <w:basedOn w:val="Normal"/>
    <w:link w:val="DocumentMapChar"/>
    <w:rPr>
      <w:rFonts w:ascii="Tahoma" w:hAnsi="Tahoma"/>
      <w:sz w:val="16"/>
      <w:szCs w:val="16"/>
    </w:rPr>
  </w:style>
  <w:style w:type="character" w:customStyle="1" w:styleId="DocumentMapChar">
    <w:name w:val="Document Map Char"/>
    <w:link w:val="DocumentMap"/>
    <w:rPr>
      <w:rFonts w:ascii="Tahoma" w:hAnsi="Tahoma" w:cs="Tahoma"/>
      <w:sz w:val="16"/>
      <w:szCs w:val="16"/>
      <w:lang w:eastAsia="en-US"/>
    </w:rPr>
  </w:style>
  <w:style w:type="paragraph" w:styleId="E-mailSignature">
    <w:name w:val="E-mail Signature"/>
    <w:basedOn w:val="Normal"/>
    <w:link w:val="E-mailSignatureChar"/>
  </w:style>
  <w:style w:type="character" w:customStyle="1" w:styleId="E-mailSignatureChar">
    <w:name w:val="E-mail Signature Char"/>
    <w:link w:val="E-mailSignature"/>
    <w:rPr>
      <w:sz w:val="22"/>
      <w:lang w:eastAsia="en-US"/>
    </w:rPr>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rPr>
      <w:rFonts w:ascii="Cambria" w:eastAsia="Times New Roman" w:hAnsi="Cambria"/>
      <w:sz w:val="20"/>
    </w:rPr>
  </w:style>
  <w:style w:type="character" w:styleId="FollowedHyperlink">
    <w:name w:val="FollowedHyperlink"/>
    <w:rPr>
      <w:color w:val="800080"/>
      <w:u w:val="single"/>
    </w:rPr>
  </w:style>
  <w:style w:type="character" w:styleId="HTMLAcronym">
    <w:name w:val="HTML Acronym"/>
  </w:style>
  <w:style w:type="paragraph" w:styleId="HTMLAddress">
    <w:name w:val="HTML Address"/>
    <w:basedOn w:val="Normal"/>
    <w:link w:val="HTMLAddressChar"/>
    <w:rPr>
      <w:i/>
      <w:iCs/>
    </w:rPr>
  </w:style>
  <w:style w:type="character" w:customStyle="1" w:styleId="HTMLAddressChar">
    <w:name w:val="HTML Address Char"/>
    <w:link w:val="HTMLAddress"/>
    <w:rPr>
      <w:i/>
      <w:iCs/>
      <w:sz w:val="22"/>
      <w:lang w:eastAsia="en-U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link w:val="HTMLPreformattedChar"/>
    <w:rPr>
      <w:rFonts w:ascii="Courier New" w:hAnsi="Courier New"/>
      <w:sz w:val="20"/>
    </w:rPr>
  </w:style>
  <w:style w:type="character" w:customStyle="1" w:styleId="HTMLPreformattedChar">
    <w:name w:val="HTML Preformatted Char"/>
    <w:link w:val="HTMLPreformatted"/>
    <w:rPr>
      <w:rFonts w:ascii="Courier New" w:hAnsi="Courier New" w:cs="Courier New"/>
      <w:lang w:eastAsia="en-US"/>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0000FF"/>
      <w:u w:val="single"/>
    </w:rPr>
  </w:style>
  <w:style w:type="paragraph" w:styleId="Index1">
    <w:name w:val="index 1"/>
    <w:basedOn w:val="Normal"/>
    <w:next w:val="Normal"/>
    <w:autoRedefine/>
    <w:pPr>
      <w:ind w:left="220" w:hanging="220"/>
    </w:pPr>
  </w:style>
  <w:style w:type="paragraph" w:styleId="Index2">
    <w:name w:val="index 2"/>
    <w:basedOn w:val="Normal"/>
    <w:next w:val="Normal"/>
    <w:autoRedefine/>
    <w:pPr>
      <w:ind w:left="440" w:hanging="220"/>
    </w:pPr>
  </w:style>
  <w:style w:type="paragraph" w:styleId="Index3">
    <w:name w:val="index 3"/>
    <w:basedOn w:val="Normal"/>
    <w:next w:val="Normal"/>
    <w:autoRedefine/>
    <w:pPr>
      <w:ind w:left="660" w:hanging="220"/>
    </w:pPr>
  </w:style>
  <w:style w:type="paragraph" w:styleId="Index4">
    <w:name w:val="index 4"/>
    <w:basedOn w:val="Normal"/>
    <w:next w:val="Normal"/>
    <w:autoRedefine/>
    <w:pPr>
      <w:ind w:left="880" w:hanging="220"/>
    </w:pPr>
  </w:style>
  <w:style w:type="paragraph" w:styleId="Index5">
    <w:name w:val="index 5"/>
    <w:basedOn w:val="Normal"/>
    <w:next w:val="Normal"/>
    <w:autoRedefine/>
    <w:pPr>
      <w:ind w:left="1100" w:hanging="220"/>
    </w:pPr>
  </w:style>
  <w:style w:type="paragraph" w:styleId="Index6">
    <w:name w:val="index 6"/>
    <w:basedOn w:val="Normal"/>
    <w:next w:val="Normal"/>
    <w:autoRedefine/>
    <w:pPr>
      <w:ind w:left="1320" w:hanging="220"/>
    </w:pPr>
  </w:style>
  <w:style w:type="paragraph" w:styleId="Index7">
    <w:name w:val="index 7"/>
    <w:basedOn w:val="Normal"/>
    <w:next w:val="Normal"/>
    <w:autoRedefine/>
    <w:pPr>
      <w:ind w:left="1540" w:hanging="220"/>
    </w:pPr>
  </w:style>
  <w:style w:type="paragraph" w:styleId="Index8">
    <w:name w:val="index 8"/>
    <w:basedOn w:val="Normal"/>
    <w:next w:val="Normal"/>
    <w:autoRedefine/>
    <w:pPr>
      <w:ind w:left="1760" w:hanging="220"/>
    </w:pPr>
  </w:style>
  <w:style w:type="paragraph" w:styleId="Index9">
    <w:name w:val="index 9"/>
    <w:basedOn w:val="Normal"/>
    <w:next w:val="Normal"/>
    <w:autoRedefine/>
    <w:pPr>
      <w:ind w:left="1980" w:hanging="220"/>
    </w:pPr>
  </w:style>
  <w:style w:type="paragraph" w:styleId="IndexHeading">
    <w:name w:val="index heading"/>
    <w:basedOn w:val="Normal"/>
    <w:next w:val="Index1"/>
    <w:rPr>
      <w:rFonts w:ascii="Cambria" w:eastAsia="Times New Roman" w:hAnsi="Cambria"/>
      <w:b/>
      <w:bCs/>
    </w:rPr>
  </w:style>
  <w:style w:type="character" w:styleId="IntenseEmphasis">
    <w:name w:val="Intense Emphasis"/>
    <w:uiPriority w:val="21"/>
    <w:qFormat/>
    <w:rPr>
      <w:b/>
      <w:bCs/>
      <w:i/>
      <w:iCs/>
      <w:color w:val="4F81BD"/>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Pr>
      <w:b/>
      <w:bCs/>
      <w:i/>
      <w:iCs/>
      <w:color w:val="4F81BD"/>
      <w:sz w:val="22"/>
      <w:lang w:eastAsia="en-US"/>
    </w:rPr>
  </w:style>
  <w:style w:type="character" w:styleId="IntenseReference">
    <w:name w:val="Intense Reference"/>
    <w:uiPriority w:val="32"/>
    <w:qFormat/>
    <w:rPr>
      <w:b/>
      <w:bCs/>
      <w:smallCaps/>
      <w:color w:val="C0504D"/>
      <w:spacing w:val="5"/>
      <w:u w:val="single"/>
    </w:rPr>
  </w:style>
  <w:style w:type="table" w:customStyle="1" w:styleId="13">
    <w:name w:val="浅色网格1"/>
    <w:basedOn w:val="TableNormal"/>
    <w:uiPriority w:val="6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uiPriority w:val="6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imes New Roman" w:eastAsia="Times New Roman" w:hAnsi="Times New Rom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Times New Roman" w:eastAsia="Times New Roman" w:hAnsi="Times New Rom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Times New Roman" w:eastAsia="Times New Roman" w:hAnsi="Times New Rom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Times New Roman" w:eastAsia="Times New Roman" w:hAnsi="Times New Rom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Times New Roman" w:eastAsia="Times New Roman" w:hAnsi="Times New Rom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Times New Roman" w:eastAsia="Times New Roman" w:hAnsi="Times New Rom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14">
    <w:name w:val="浅色列表1"/>
    <w:basedOn w:val="TableNormal"/>
    <w:uiPriority w:val="6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15">
    <w:name w:val="浅色底纹1"/>
    <w:basedOn w:val="TableNormal"/>
    <w:uiPriority w:val="6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style>
  <w:style w:type="paragraph" w:styleId="List">
    <w:name w:val="List"/>
    <w:basedOn w:val="Normal"/>
    <w:pPr>
      <w:ind w:left="283" w:hanging="283"/>
      <w:contextualSpacing/>
    </w:pPr>
  </w:style>
  <w:style w:type="paragraph" w:styleId="List2">
    <w:name w:val="List 2"/>
    <w:basedOn w:val="Normal"/>
    <w:pPr>
      <w:ind w:left="566" w:hanging="283"/>
      <w:contextualSpacing/>
    </w:pPr>
  </w:style>
  <w:style w:type="paragraph" w:styleId="List3">
    <w:name w:val="List 3"/>
    <w:basedOn w:val="Normal"/>
    <w:pPr>
      <w:ind w:left="849" w:hanging="283"/>
      <w:contextualSpacing/>
    </w:pPr>
  </w:style>
  <w:style w:type="paragraph" w:styleId="List4">
    <w:name w:val="List 4"/>
    <w:basedOn w:val="Normal"/>
    <w:pPr>
      <w:ind w:left="1132" w:hanging="283"/>
      <w:contextualSpacing/>
    </w:pPr>
  </w:style>
  <w:style w:type="paragraph" w:styleId="List5">
    <w:name w:val="List 5"/>
    <w:basedOn w:val="Normal"/>
    <w:pPr>
      <w:ind w:left="1415" w:hanging="283"/>
      <w:contextualSpacing/>
    </w:pPr>
  </w:style>
  <w:style w:type="paragraph" w:styleId="ListContinue">
    <w:name w:val="List Continue"/>
    <w:basedOn w:val="Normal"/>
    <w:pPr>
      <w:spacing w:after="120"/>
      <w:ind w:left="283"/>
      <w:contextualSpacing/>
    </w:pPr>
  </w:style>
  <w:style w:type="paragraph" w:styleId="ListContinue2">
    <w:name w:val="List Continue 2"/>
    <w:basedOn w:val="Normal"/>
    <w:pPr>
      <w:spacing w:after="120"/>
      <w:ind w:left="566"/>
      <w:contextualSpacing/>
    </w:pPr>
  </w:style>
  <w:style w:type="paragraph" w:styleId="ListContinue3">
    <w:name w:val="List Continue 3"/>
    <w:basedOn w:val="Normal"/>
    <w:pPr>
      <w:spacing w:after="120"/>
      <w:ind w:left="849"/>
      <w:contextualSpacing/>
    </w:pPr>
  </w:style>
  <w:style w:type="paragraph" w:styleId="ListContinue4">
    <w:name w:val="List Continue 4"/>
    <w:basedOn w:val="Normal"/>
    <w:pPr>
      <w:spacing w:after="120"/>
      <w:ind w:left="1132"/>
      <w:contextualSpacing/>
    </w:pPr>
  </w:style>
  <w:style w:type="paragraph" w:styleId="ListContinue5">
    <w:name w:val="List Continue 5"/>
    <w:basedOn w:val="Normal"/>
    <w:pPr>
      <w:spacing w:after="120"/>
      <w:ind w:left="1415"/>
      <w:contextualSpacing/>
    </w:pPr>
  </w:style>
  <w:style w:type="paragraph" w:styleId="ListNumber">
    <w:name w:val="List Number"/>
    <w:basedOn w:val="Normal"/>
    <w:pPr>
      <w:numPr>
        <w:numId w:val="10"/>
      </w:numPr>
      <w:contextualSpacing/>
    </w:pPr>
  </w:style>
  <w:style w:type="paragraph" w:styleId="ListNumber2">
    <w:name w:val="List Number 2"/>
    <w:basedOn w:val="Normal"/>
    <w:pPr>
      <w:numPr>
        <w:numId w:val="11"/>
      </w:numPr>
      <w:contextualSpacing/>
    </w:pPr>
  </w:style>
  <w:style w:type="paragraph" w:styleId="ListNumber3">
    <w:name w:val="List Number 3"/>
    <w:basedOn w:val="Normal"/>
    <w:pPr>
      <w:numPr>
        <w:numId w:val="12"/>
      </w:numPr>
      <w:contextualSpacing/>
    </w:pPr>
  </w:style>
  <w:style w:type="paragraph" w:styleId="ListNumber4">
    <w:name w:val="List Number 4"/>
    <w:basedOn w:val="Normal"/>
    <w:pPr>
      <w:numPr>
        <w:numId w:val="13"/>
      </w:numPr>
      <w:contextualSpacing/>
    </w:pPr>
  </w:style>
  <w:style w:type="paragraph" w:styleId="ListNumber5">
    <w:name w:val="List Number 5"/>
    <w:basedOn w:val="Normal"/>
    <w:pPr>
      <w:numPr>
        <w:numId w:val="14"/>
      </w:numPr>
      <w:contextualSpacing/>
    </w:pPr>
  </w:style>
  <w:style w:type="paragraph" w:styleId="ListParagraph">
    <w:name w:val="List Paragraph"/>
    <w:basedOn w:val="Normal"/>
    <w:uiPriority w:val="34"/>
    <w:qFormat/>
    <w:pPr>
      <w:ind w:left="720"/>
    </w:pPr>
  </w:style>
  <w:style w:type="paragraph" w:styleId="Macro">
    <w:name w:val="macro"/>
    <w:link w:val="MacroTextChar"/>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240" w:line="360" w:lineRule="auto"/>
      <w:jc w:val="both"/>
      <w:textAlignment w:val="baseline"/>
    </w:pPr>
    <w:rPr>
      <w:rFonts w:ascii="Courier New" w:hAnsi="Courier New" w:cs="Courier New"/>
      <w:lang w:val="en-GB" w:eastAsia="en-US"/>
    </w:rPr>
  </w:style>
  <w:style w:type="character" w:customStyle="1" w:styleId="MacroTextChar">
    <w:name w:val="Macro Text Char"/>
    <w:link w:val="Macro"/>
    <w:rPr>
      <w:rFonts w:ascii="Courier New" w:hAnsi="Courier New" w:cs="Courier New"/>
      <w:lang w:eastAsia="en-US" w:bidi="ar-SA"/>
    </w:rPr>
  </w:style>
  <w:style w:type="table" w:customStyle="1" w:styleId="110">
    <w:name w:val="中等深浅网格 11"/>
    <w:basedOn w:val="TableNormal"/>
    <w:uiPriority w:val="67"/>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21">
    <w:name w:val="中等深浅网格 21"/>
    <w:basedOn w:val="TableNormal"/>
    <w:uiPriority w:val="6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31">
    <w:name w:val="中等深浅网格 31"/>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111">
    <w:name w:val="中等深浅列表 11"/>
    <w:basedOn w:val="TableNormal"/>
    <w:uiPriority w:val="65"/>
    <w:rPr>
      <w:color w:val="000000"/>
    </w:rPr>
    <w:tblPr>
      <w:tblStyleRowBandSize w:val="1"/>
      <w:tblStyleColBandSize w:val="1"/>
      <w:tblBorders>
        <w:top w:val="single" w:sz="8" w:space="0" w:color="000000"/>
        <w:bottom w:val="single" w:sz="8" w:space="0" w:color="000000"/>
      </w:tblBorders>
    </w:tblPr>
    <w:tblStylePr w:type="firstRow">
      <w:rPr>
        <w:rFonts w:ascii="Times New Roman" w:eastAsia="Times New Roman" w:hAnsi="Times New Rom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uiPriority w:val="65"/>
    <w:rPr>
      <w:color w:val="000000"/>
    </w:rPr>
    <w:tblPr>
      <w:tblStyleRowBandSize w:val="1"/>
      <w:tblStyleColBandSize w:val="1"/>
      <w:tblBorders>
        <w:top w:val="single" w:sz="8" w:space="0" w:color="4F81BD"/>
        <w:bottom w:val="single" w:sz="8" w:space="0" w:color="4F81BD"/>
      </w:tblBorders>
    </w:tblPr>
    <w:tblStylePr w:type="firstRow">
      <w:rPr>
        <w:rFonts w:ascii="Times New Roman" w:eastAsia="Times New Roman" w:hAnsi="Times New Rom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Pr>
      <w:color w:val="000000"/>
    </w:rPr>
    <w:tblPr>
      <w:tblStyleRowBandSize w:val="1"/>
      <w:tblStyleColBandSize w:val="1"/>
      <w:tblBorders>
        <w:top w:val="single" w:sz="8" w:space="0" w:color="C0504D"/>
        <w:bottom w:val="single" w:sz="8" w:space="0" w:color="C0504D"/>
      </w:tblBorders>
    </w:tblPr>
    <w:tblStylePr w:type="firstRow">
      <w:rPr>
        <w:rFonts w:ascii="Times New Roman" w:eastAsia="Times New Roman" w:hAnsi="Times New Rom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Pr>
      <w:color w:val="000000"/>
    </w:rPr>
    <w:tblPr>
      <w:tblStyleRowBandSize w:val="1"/>
      <w:tblStyleColBandSize w:val="1"/>
      <w:tblBorders>
        <w:top w:val="single" w:sz="8" w:space="0" w:color="9BBB59"/>
        <w:bottom w:val="single" w:sz="8" w:space="0" w:color="9BBB59"/>
      </w:tblBorders>
    </w:tblPr>
    <w:tblStylePr w:type="firstRow">
      <w:rPr>
        <w:rFonts w:ascii="Times New Roman" w:eastAsia="Times New Roman" w:hAnsi="Times New Rom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Pr>
      <w:color w:val="000000"/>
    </w:rPr>
    <w:tblPr>
      <w:tblStyleRowBandSize w:val="1"/>
      <w:tblStyleColBandSize w:val="1"/>
      <w:tblBorders>
        <w:top w:val="single" w:sz="8" w:space="0" w:color="8064A2"/>
        <w:bottom w:val="single" w:sz="8" w:space="0" w:color="8064A2"/>
      </w:tblBorders>
    </w:tblPr>
    <w:tblStylePr w:type="firstRow">
      <w:rPr>
        <w:rFonts w:ascii="Times New Roman" w:eastAsia="Times New Roman" w:hAnsi="Times New Rom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Pr>
      <w:color w:val="000000"/>
    </w:rPr>
    <w:tblPr>
      <w:tblStyleRowBandSize w:val="1"/>
      <w:tblStyleColBandSize w:val="1"/>
      <w:tblBorders>
        <w:top w:val="single" w:sz="8" w:space="0" w:color="4BACC6"/>
        <w:bottom w:val="single" w:sz="8" w:space="0" w:color="4BACC6"/>
      </w:tblBorders>
    </w:tblPr>
    <w:tblStylePr w:type="firstRow">
      <w:rPr>
        <w:rFonts w:ascii="Times New Roman" w:eastAsia="Times New Roman" w:hAnsi="Times New Rom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Pr>
      <w:color w:val="000000"/>
    </w:rPr>
    <w:tblPr>
      <w:tblStyleRowBandSize w:val="1"/>
      <w:tblStyleColBandSize w:val="1"/>
      <w:tblBorders>
        <w:top w:val="single" w:sz="8" w:space="0" w:color="F79646"/>
        <w:bottom w:val="single" w:sz="8" w:space="0" w:color="F79646"/>
      </w:tblBorders>
    </w:tblPr>
    <w:tblStylePr w:type="firstRow">
      <w:rPr>
        <w:rFonts w:ascii="Times New Roman" w:eastAsia="Times New Roman" w:hAnsi="Times New Rom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210">
    <w:name w:val="中等深浅列表 21"/>
    <w:basedOn w:val="TableNormal"/>
    <w:uiPriority w:val="66"/>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112">
    <w:name w:val="中等深浅底纹 11"/>
    <w:basedOn w:val="TableNormal"/>
    <w:uiPriority w:val="6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211">
    <w:name w:val="中等深浅底纹 21"/>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Pr>
      <w:rFonts w:ascii="Cambria" w:eastAsia="Times New Roman" w:hAnsi="Cambria" w:cs="Times New Roman"/>
      <w:sz w:val="24"/>
      <w:szCs w:val="24"/>
      <w:shd w:val="pct20" w:color="auto" w:fill="auto"/>
      <w:lang w:eastAsia="en-US"/>
    </w:rPr>
  </w:style>
  <w:style w:type="paragraph" w:styleId="NoSpacing">
    <w:name w:val="No Spacing"/>
    <w:uiPriority w:val="1"/>
    <w:qFormat/>
    <w:pPr>
      <w:overflowPunct w:val="0"/>
      <w:autoSpaceDE w:val="0"/>
      <w:autoSpaceDN w:val="0"/>
      <w:adjustRightInd w:val="0"/>
      <w:jc w:val="both"/>
      <w:textAlignment w:val="baseline"/>
    </w:pPr>
    <w:rPr>
      <w:sz w:val="22"/>
      <w:lang w:val="en-GB" w:eastAsia="en-US"/>
    </w:rPr>
  </w:style>
  <w:style w:type="paragraph" w:styleId="NormalWeb">
    <w:name w:val="Normal (Web)"/>
    <w:basedOn w:val="Normal"/>
    <w:rPr>
      <w:sz w:val="24"/>
      <w:szCs w:val="24"/>
    </w:rPr>
  </w:style>
  <w:style w:type="paragraph" w:styleId="NormalIndent">
    <w:name w:val="Normal Indent"/>
    <w:basedOn w:val="Normal"/>
    <w:pPr>
      <w:ind w:left="720"/>
    </w:pPr>
  </w:style>
  <w:style w:type="paragraph" w:customStyle="1" w:styleId="NoteHeading">
    <w:name w:val="Note Heading"/>
    <w:basedOn w:val="Normal"/>
    <w:next w:val="Normal"/>
    <w:link w:val="NoteHeadingChar"/>
  </w:style>
  <w:style w:type="character" w:customStyle="1" w:styleId="NoteHeadingChar">
    <w:name w:val="Note Heading Char"/>
    <w:link w:val="NoteHeading"/>
    <w:rPr>
      <w:sz w:val="22"/>
      <w:lang w:eastAsia="en-US"/>
    </w:rPr>
  </w:style>
  <w:style w:type="character" w:styleId="PlaceholderText">
    <w:name w:val="Placeholder Text"/>
    <w:uiPriority w:val="99"/>
    <w:semiHidden/>
    <w:rPr>
      <w:color w:val="808080"/>
    </w:rPr>
  </w:style>
  <w:style w:type="paragraph" w:styleId="PlainText">
    <w:name w:val="Plain Text"/>
    <w:basedOn w:val="Normal"/>
    <w:link w:val="PlainTextChar"/>
    <w:rPr>
      <w:rFonts w:ascii="Courier New" w:hAnsi="Courier New"/>
      <w:sz w:val="20"/>
    </w:rPr>
  </w:style>
  <w:style w:type="character" w:customStyle="1" w:styleId="PlainTextChar">
    <w:name w:val="Plain Text Char"/>
    <w:link w:val="PlainText"/>
    <w:rPr>
      <w:rFonts w:ascii="Courier New" w:hAnsi="Courier New" w:cs="Courier New"/>
      <w:lang w:eastAsia="en-US"/>
    </w:rPr>
  </w:style>
  <w:style w:type="paragraph" w:styleId="Quote">
    <w:name w:val="Quote"/>
    <w:basedOn w:val="Normal"/>
    <w:next w:val="Normal"/>
    <w:link w:val="QuoteChar"/>
    <w:uiPriority w:val="29"/>
    <w:qFormat/>
    <w:rPr>
      <w:i/>
      <w:iCs/>
      <w:color w:val="000000"/>
    </w:rPr>
  </w:style>
  <w:style w:type="character" w:customStyle="1" w:styleId="QuoteChar">
    <w:name w:val="Quote Char"/>
    <w:link w:val="Quote"/>
    <w:uiPriority w:val="29"/>
    <w:rPr>
      <w:i/>
      <w:iCs/>
      <w:color w:val="000000"/>
      <w:sz w:val="22"/>
      <w:lang w:eastAsia="en-US"/>
    </w:rPr>
  </w:style>
  <w:style w:type="paragraph" w:styleId="Salutation">
    <w:name w:val="Salutation"/>
    <w:basedOn w:val="Normal"/>
    <w:next w:val="Normal"/>
    <w:link w:val="SalutationChar"/>
  </w:style>
  <w:style w:type="character" w:customStyle="1" w:styleId="SalutationChar">
    <w:name w:val="Salutation Char"/>
    <w:link w:val="Salutation"/>
    <w:rPr>
      <w:sz w:val="22"/>
      <w:lang w:eastAsia="en-US"/>
    </w:rPr>
  </w:style>
  <w:style w:type="paragraph" w:styleId="Signature">
    <w:name w:val="Signature"/>
    <w:basedOn w:val="Normal"/>
    <w:link w:val="SignatureChar"/>
    <w:pPr>
      <w:ind w:left="4252"/>
    </w:pPr>
  </w:style>
  <w:style w:type="character" w:customStyle="1" w:styleId="SignatureChar">
    <w:name w:val="Signature Char"/>
    <w:link w:val="Signature"/>
    <w:rPr>
      <w:sz w:val="22"/>
      <w:lang w:eastAsia="en-US"/>
    </w:rPr>
  </w:style>
  <w:style w:type="character" w:styleId="Strong">
    <w:name w:val="Strong"/>
    <w:qFormat/>
    <w:rPr>
      <w:b/>
      <w:bCs/>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character" w:customStyle="1" w:styleId="SubtitleChar">
    <w:name w:val="Subtitle Char"/>
    <w:link w:val="Subtitle"/>
    <w:rPr>
      <w:rFonts w:ascii="Cambria" w:eastAsia="Times New Roman" w:hAnsi="Cambria" w:cs="Times New Roman"/>
      <w:sz w:val="24"/>
      <w:szCs w:val="24"/>
      <w:lang w:eastAsia="en-US"/>
    </w:rPr>
  </w:style>
  <w:style w:type="character" w:styleId="SubtleEmphasis">
    <w:name w:val="Subtle Emphasis"/>
    <w:uiPriority w:val="19"/>
    <w:qFormat/>
    <w:rPr>
      <w:i/>
      <w:iCs/>
      <w:color w:val="808080"/>
    </w:rPr>
  </w:style>
  <w:style w:type="character" w:styleId="SubtleReference">
    <w:name w:val="Subtle Reference"/>
    <w:uiPriority w:val="31"/>
    <w:qFormat/>
    <w:rPr>
      <w:smallCaps/>
      <w:color w:val="C0504D"/>
      <w:u w:val="single"/>
    </w:rPr>
  </w:style>
  <w:style w:type="table" w:styleId="Table3Deffects1">
    <w:name w:val="Table 3D effects 1"/>
    <w:basedOn w:val="TableNormal"/>
    <w:pPr>
      <w:overflowPunct w:val="0"/>
      <w:autoSpaceDE w:val="0"/>
      <w:autoSpaceDN w:val="0"/>
      <w:adjustRightInd w:val="0"/>
      <w:spacing w:after="240" w:line="360" w:lineRule="auto"/>
      <w:jc w:val="both"/>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pPr>
      <w:overflowPunct w:val="0"/>
      <w:autoSpaceDE w:val="0"/>
      <w:autoSpaceDN w:val="0"/>
      <w:adjustRightInd w:val="0"/>
      <w:spacing w:after="240" w:line="360" w:lineRule="auto"/>
      <w:jc w:val="both"/>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pPr>
      <w:overflowPunct w:val="0"/>
      <w:autoSpaceDE w:val="0"/>
      <w:autoSpaceDN w:val="0"/>
      <w:adjustRightInd w:val="0"/>
      <w:spacing w:after="240" w:line="360" w:lineRule="auto"/>
      <w:jc w:val="both"/>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pPr>
      <w:overflowPunct w:val="0"/>
      <w:autoSpaceDE w:val="0"/>
      <w:autoSpaceDN w:val="0"/>
      <w:adjustRightInd w:val="0"/>
      <w:spacing w:after="240" w:line="360" w:lineRule="auto"/>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pPr>
      <w:overflowPunct w:val="0"/>
      <w:autoSpaceDE w:val="0"/>
      <w:autoSpaceDN w:val="0"/>
      <w:adjustRightInd w:val="0"/>
      <w:spacing w:after="240" w:line="360" w:lineRule="auto"/>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pPr>
      <w:overflowPunct w:val="0"/>
      <w:autoSpaceDE w:val="0"/>
      <w:autoSpaceDN w:val="0"/>
      <w:adjustRightInd w:val="0"/>
      <w:spacing w:after="240" w:line="360" w:lineRule="auto"/>
      <w:jc w:val="both"/>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pPr>
      <w:overflowPunct w:val="0"/>
      <w:autoSpaceDE w:val="0"/>
      <w:autoSpaceDN w:val="0"/>
      <w:adjustRightInd w:val="0"/>
      <w:spacing w:after="240" w:line="360" w:lineRule="auto"/>
      <w:jc w:val="both"/>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pPr>
      <w:overflowPunct w:val="0"/>
      <w:autoSpaceDE w:val="0"/>
      <w:autoSpaceDN w:val="0"/>
      <w:adjustRightInd w:val="0"/>
      <w:spacing w:after="240" w:line="360" w:lineRule="auto"/>
      <w:jc w:val="both"/>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pPr>
      <w:overflowPunct w:val="0"/>
      <w:autoSpaceDE w:val="0"/>
      <w:autoSpaceDN w:val="0"/>
      <w:adjustRightInd w:val="0"/>
      <w:spacing w:after="240" w:line="360" w:lineRule="auto"/>
      <w:jc w:val="both"/>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pPr>
      <w:overflowPunct w:val="0"/>
      <w:autoSpaceDE w:val="0"/>
      <w:autoSpaceDN w:val="0"/>
      <w:adjustRightInd w:val="0"/>
      <w:spacing w:after="240" w:line="360" w:lineRule="auto"/>
      <w:jc w:val="both"/>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pPr>
      <w:overflowPunct w:val="0"/>
      <w:autoSpaceDE w:val="0"/>
      <w:autoSpaceDN w:val="0"/>
      <w:adjustRightInd w:val="0"/>
      <w:spacing w:after="240" w:line="360" w:lineRule="auto"/>
      <w:jc w:val="both"/>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pPr>
      <w:overflowPunct w:val="0"/>
      <w:autoSpaceDE w:val="0"/>
      <w:autoSpaceDN w:val="0"/>
      <w:adjustRightInd w:val="0"/>
      <w:spacing w:after="240" w:line="360" w:lineRule="auto"/>
      <w:jc w:val="both"/>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pPr>
      <w:overflowPunct w:val="0"/>
      <w:autoSpaceDE w:val="0"/>
      <w:autoSpaceDN w:val="0"/>
      <w:adjustRightInd w:val="0"/>
      <w:spacing w:after="240" w:line="360" w:lineRule="auto"/>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pPr>
      <w:overflowPunct w:val="0"/>
      <w:autoSpaceDE w:val="0"/>
      <w:autoSpaceDN w:val="0"/>
      <w:adjustRightInd w:val="0"/>
      <w:spacing w:after="240" w:line="360" w:lineRule="auto"/>
      <w:jc w:val="both"/>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pPr>
      <w:overflowPunct w:val="0"/>
      <w:autoSpaceDE w:val="0"/>
      <w:autoSpaceDN w:val="0"/>
      <w:adjustRightInd w:val="0"/>
      <w:spacing w:after="240" w:line="360" w:lineRule="auto"/>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pPr>
      <w:overflowPunct w:val="0"/>
      <w:autoSpaceDE w:val="0"/>
      <w:autoSpaceDN w:val="0"/>
      <w:adjustRightInd w:val="0"/>
      <w:spacing w:after="240" w:line="360" w:lineRule="auto"/>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pPr>
      <w:overflowPunct w:val="0"/>
      <w:autoSpaceDE w:val="0"/>
      <w:autoSpaceDN w:val="0"/>
      <w:adjustRightInd w:val="0"/>
      <w:spacing w:after="240" w:line="360" w:lineRule="auto"/>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pPr>
      <w:overflowPunct w:val="0"/>
      <w:autoSpaceDE w:val="0"/>
      <w:autoSpaceDN w:val="0"/>
      <w:adjustRightInd w:val="0"/>
      <w:spacing w:after="240" w:line="360" w:lineRule="auto"/>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pPr>
      <w:overflowPunct w:val="0"/>
      <w:autoSpaceDE w:val="0"/>
      <w:autoSpaceDN w:val="0"/>
      <w:adjustRightInd w:val="0"/>
      <w:spacing w:after="240" w:line="360" w:lineRule="auto"/>
      <w:jc w:val="both"/>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pPr>
      <w:overflowPunct w:val="0"/>
      <w:autoSpaceDE w:val="0"/>
      <w:autoSpaceDN w:val="0"/>
      <w:adjustRightInd w:val="0"/>
      <w:spacing w:after="240" w:line="360" w:lineRule="auto"/>
      <w:jc w:val="both"/>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pPr>
      <w:overflowPunct w:val="0"/>
      <w:autoSpaceDE w:val="0"/>
      <w:autoSpaceDN w:val="0"/>
      <w:adjustRightInd w:val="0"/>
      <w:spacing w:after="240" w:line="360" w:lineRule="auto"/>
      <w:jc w:val="both"/>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pPr>
      <w:overflowPunct w:val="0"/>
      <w:autoSpaceDE w:val="0"/>
      <w:autoSpaceDN w:val="0"/>
      <w:adjustRightInd w:val="0"/>
      <w:spacing w:after="240" w:line="360" w:lineRule="auto"/>
      <w:jc w:val="both"/>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pPr>
      <w:overflowPunct w:val="0"/>
      <w:autoSpaceDE w:val="0"/>
      <w:autoSpaceDN w:val="0"/>
      <w:adjustRightInd w:val="0"/>
      <w:spacing w:after="240" w:line="360" w:lineRule="auto"/>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pPr>
      <w:overflowPunct w:val="0"/>
      <w:autoSpaceDE w:val="0"/>
      <w:autoSpaceDN w:val="0"/>
      <w:adjustRightInd w:val="0"/>
      <w:spacing w:after="240" w:line="360" w:lineRule="auto"/>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pPr>
      <w:overflowPunct w:val="0"/>
      <w:autoSpaceDE w:val="0"/>
      <w:autoSpaceDN w:val="0"/>
      <w:adjustRightInd w:val="0"/>
      <w:spacing w:after="240" w:line="360" w:lineRule="auto"/>
      <w:jc w:val="both"/>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pPr>
      <w:overflowPunct w:val="0"/>
      <w:autoSpaceDE w:val="0"/>
      <w:autoSpaceDN w:val="0"/>
      <w:adjustRightInd w:val="0"/>
      <w:spacing w:after="240" w:line="360" w:lineRule="auto"/>
      <w:jc w:val="both"/>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pPr>
      <w:overflowPunct w:val="0"/>
      <w:autoSpaceDE w:val="0"/>
      <w:autoSpaceDN w:val="0"/>
      <w:adjustRightInd w:val="0"/>
      <w:spacing w:after="240" w:line="360" w:lineRule="auto"/>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pPr>
      <w:overflowPunct w:val="0"/>
      <w:autoSpaceDE w:val="0"/>
      <w:autoSpaceDN w:val="0"/>
      <w:adjustRightInd w:val="0"/>
      <w:spacing w:after="240" w:line="360" w:lineRule="auto"/>
      <w:jc w:val="both"/>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pPr>
      <w:overflowPunct w:val="0"/>
      <w:autoSpaceDE w:val="0"/>
      <w:autoSpaceDN w:val="0"/>
      <w:adjustRightInd w:val="0"/>
      <w:spacing w:after="240" w:line="360" w:lineRule="auto"/>
      <w:jc w:val="both"/>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pPr>
      <w:overflowPunct w:val="0"/>
      <w:autoSpaceDE w:val="0"/>
      <w:autoSpaceDN w:val="0"/>
      <w:adjustRightInd w:val="0"/>
      <w:spacing w:after="240" w:line="360" w:lineRule="auto"/>
      <w:jc w:val="both"/>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pPr>
      <w:ind w:left="220" w:hanging="220"/>
    </w:pPr>
  </w:style>
  <w:style w:type="paragraph" w:styleId="TableofFigures">
    <w:name w:val="table of figures"/>
    <w:basedOn w:val="Normal"/>
    <w:next w:val="Normal"/>
  </w:style>
  <w:style w:type="table" w:styleId="TableProfessional">
    <w:name w:val="Table Professional"/>
    <w:basedOn w:val="TableNormal"/>
    <w:pPr>
      <w:overflowPunct w:val="0"/>
      <w:autoSpaceDE w:val="0"/>
      <w:autoSpaceDN w:val="0"/>
      <w:adjustRightInd w:val="0"/>
      <w:spacing w:after="240" w:line="360" w:lineRule="auto"/>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pPr>
      <w:overflowPunct w:val="0"/>
      <w:autoSpaceDE w:val="0"/>
      <w:autoSpaceDN w:val="0"/>
      <w:adjustRightInd w:val="0"/>
      <w:spacing w:after="240" w:line="360" w:lineRule="auto"/>
      <w:jc w:val="both"/>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pPr>
      <w:overflowPunct w:val="0"/>
      <w:autoSpaceDE w:val="0"/>
      <w:autoSpaceDN w:val="0"/>
      <w:adjustRightInd w:val="0"/>
      <w:spacing w:after="240" w:line="360" w:lineRule="auto"/>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pPr>
      <w:overflowPunct w:val="0"/>
      <w:autoSpaceDE w:val="0"/>
      <w:autoSpaceDN w:val="0"/>
      <w:adjustRightInd w:val="0"/>
      <w:spacing w:after="240" w:line="360" w:lineRule="auto"/>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pPr>
      <w:overflowPunct w:val="0"/>
      <w:autoSpaceDE w:val="0"/>
      <w:autoSpaceDN w:val="0"/>
      <w:adjustRightInd w:val="0"/>
      <w:spacing w:after="240" w:line="360" w:lineRule="auto"/>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pPr>
      <w:overflowPunct w:val="0"/>
      <w:autoSpaceDE w:val="0"/>
      <w:autoSpaceDN w:val="0"/>
      <w:adjustRightInd w:val="0"/>
      <w:spacing w:after="240" w:line="360"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pPr>
      <w:overflowPunct w:val="0"/>
      <w:autoSpaceDE w:val="0"/>
      <w:autoSpaceDN w:val="0"/>
      <w:adjustRightInd w:val="0"/>
      <w:spacing w:after="240" w:line="360" w:lineRule="auto"/>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pPr>
      <w:overflowPunct w:val="0"/>
      <w:autoSpaceDE w:val="0"/>
      <w:autoSpaceDN w:val="0"/>
      <w:adjustRightInd w:val="0"/>
      <w:spacing w:after="240" w:line="360" w:lineRule="auto"/>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pPr>
      <w:overflowPunct w:val="0"/>
      <w:autoSpaceDE w:val="0"/>
      <w:autoSpaceDN w:val="0"/>
      <w:adjustRightInd w:val="0"/>
      <w:spacing w:after="240" w:line="360" w:lineRule="auto"/>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39"/>
    <w:qFormat/>
    <w:pPr>
      <w:keepNext/>
      <w:numPr>
        <w:numId w:val="0"/>
      </w:numPr>
      <w:overflowPunct w:val="0"/>
      <w:autoSpaceDE w:val="0"/>
      <w:autoSpaceDN w:val="0"/>
      <w:spacing w:before="240" w:after="60" w:line="360" w:lineRule="auto"/>
      <w:textAlignment w:val="baseline"/>
      <w:outlineLvl w:val="9"/>
    </w:pPr>
    <w:rPr>
      <w:rFonts w:ascii="Cambria" w:eastAsia="Times New Roman" w:hAnsi="Cambria" w:cs="Times New Roman"/>
      <w:b w:val="0"/>
      <w:bCs/>
      <w:kern w:val="32"/>
      <w:sz w:val="32"/>
      <w:szCs w:val="32"/>
      <w:lang w:eastAsia="en-US"/>
    </w:rPr>
  </w:style>
  <w:style w:type="character" w:customStyle="1" w:styleId="Heading2Char">
    <w:name w:val="Heading 2 Char"/>
    <w:link w:val="Heading2"/>
    <w:rPr>
      <w:rFonts w:ascii="Arial" w:eastAsia="STZhongsong" w:hAnsi="Arial" w:cs="Arial"/>
      <w:sz w:val="22"/>
      <w:lang w:val="en-GB"/>
    </w:rPr>
  </w:style>
  <w:style w:type="paragraph" w:styleId="Revision">
    <w:name w:val="Revision"/>
    <w:hidden/>
    <w:uiPriority w:val="99"/>
    <w:semiHidden/>
    <w:rPr>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F309B-B2D9-4E3C-818D-B74F99182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12768</Words>
  <Characters>14498</Characters>
  <Application>Microsoft Office Word</Application>
  <DocSecurity>0</DocSecurity>
  <Lines>283</Lines>
  <Paragraphs>313</Paragraphs>
  <ScaleCrop>false</ScaleCrop>
  <Company/>
  <LinksUpToDate>false</LinksUpToDate>
  <CharactersWithSpaces>14789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EditorId">
    <vt:lpwstr>59f35e4b-edeb-4f35-af17-74795a82f566</vt:lpwstr>
  </property>
  <property fmtid="{D5CDD505-2E9C-101B-9397-08002B2CF9AE}" pid="3" name="Plato Matter Owner Designation">
    <vt:lpwstr/>
  </property>
</Properties>
</file>